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snapToGrid w:val="0"/>
        <w:spacing w:before="242" w:line="440" w:lineRule="exact"/>
        <w:rPr>
          <w:rFonts w:asciiTheme="minorEastAsia" w:hAnsiTheme="minorEastAsia" w:cstheme="minorBidi"/>
          <w:b/>
          <w:bCs/>
          <w:color w:val="000000"/>
          <w:sz w:val="28"/>
          <w:lang w:eastAsia="zh-CN"/>
        </w:rPr>
      </w:pPr>
      <w:r>
        <w:rPr>
          <w:rFonts w:asciiTheme="minorEastAsia" w:hAnsiTheme="minorEastAsia" w:cstheme="minorBidi"/>
          <w:b/>
          <w:bCs/>
          <w:color w:val="000000"/>
          <w:sz w:val="28"/>
          <w:lang w:eastAsia="zh-CN"/>
        </w:rPr>
        <w:t>附件</w:t>
      </w:r>
    </w:p>
    <w:p>
      <w:pPr>
        <w:widowControl w:val="0"/>
        <w:autoSpaceDE w:val="0"/>
        <w:autoSpaceDN w:val="0"/>
        <w:adjustRightInd w:val="0"/>
        <w:snapToGrid w:val="0"/>
        <w:spacing w:after="156" w:afterLines="50" w:line="440" w:lineRule="exact"/>
        <w:jc w:val="center"/>
        <w:rPr>
          <w:rFonts w:asciiTheme="minorEastAsia" w:hAnsiTheme="minorEastAsia" w:cstheme="minorBidi"/>
          <w:b/>
          <w:color w:val="000000"/>
          <w:sz w:val="32"/>
          <w:szCs w:val="28"/>
          <w:lang w:eastAsia="zh-CN"/>
        </w:rPr>
      </w:pPr>
      <w:r>
        <w:rPr>
          <w:rFonts w:hint="eastAsia" w:asciiTheme="minorEastAsia" w:hAnsiTheme="minorEastAsia" w:cstheme="minorBidi"/>
          <w:b/>
          <w:color w:val="000000"/>
          <w:sz w:val="32"/>
          <w:szCs w:val="28"/>
          <w:lang w:eastAsia="zh-CN"/>
        </w:rPr>
        <w:t>南京航空航天大学</w:t>
      </w:r>
      <w:r>
        <w:rPr>
          <w:rFonts w:hint="eastAsia" w:asciiTheme="minorEastAsia" w:hAnsiTheme="minorEastAsia" w:cstheme="minorBidi"/>
          <w:b/>
          <w:color w:val="000000"/>
          <w:sz w:val="32"/>
          <w:szCs w:val="28"/>
          <w:lang w:val="en-US" w:eastAsia="zh-CN"/>
        </w:rPr>
        <w:t>高水平</w:t>
      </w:r>
      <w:r>
        <w:rPr>
          <w:rFonts w:hint="eastAsia" w:asciiTheme="minorEastAsia" w:hAnsiTheme="minorEastAsia" w:cstheme="minorBidi"/>
          <w:b/>
          <w:color w:val="000000"/>
          <w:sz w:val="32"/>
          <w:szCs w:val="28"/>
          <w:lang w:eastAsia="zh-CN"/>
        </w:rPr>
        <w:t>教学竞赛认定类别（</w:t>
      </w:r>
      <w:r>
        <w:rPr>
          <w:rFonts w:hint="eastAsia" w:asciiTheme="minorEastAsia" w:hAnsiTheme="minorEastAsia" w:cstheme="minorBidi"/>
          <w:b/>
          <w:color w:val="000000"/>
          <w:sz w:val="32"/>
          <w:szCs w:val="28"/>
          <w:lang w:val="en-US" w:eastAsia="zh-CN"/>
        </w:rPr>
        <w:t>2023年版</w:t>
      </w:r>
      <w:r>
        <w:rPr>
          <w:rFonts w:hint="eastAsia" w:asciiTheme="minorEastAsia" w:hAnsiTheme="minorEastAsia" w:cstheme="minorBidi"/>
          <w:b/>
          <w:color w:val="000000"/>
          <w:sz w:val="32"/>
          <w:szCs w:val="28"/>
          <w:lang w:eastAsia="zh-CN"/>
        </w:rPr>
        <w:t>）</w:t>
      </w:r>
    </w:p>
    <w:tbl>
      <w:tblPr>
        <w:tblStyle w:val="2"/>
        <w:tblW w:w="12677" w:type="dxa"/>
        <w:jc w:val="center"/>
        <w:tblLayout w:type="fixed"/>
        <w:tblCellMar>
          <w:top w:w="0" w:type="dxa"/>
          <w:left w:w="108" w:type="dxa"/>
          <w:bottom w:w="0" w:type="dxa"/>
          <w:right w:w="108" w:type="dxa"/>
        </w:tblCellMar>
      </w:tblPr>
      <w:tblGrid>
        <w:gridCol w:w="645"/>
        <w:gridCol w:w="4422"/>
        <w:gridCol w:w="1100"/>
        <w:gridCol w:w="4078"/>
        <w:gridCol w:w="2432"/>
      </w:tblGrid>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spacing w:line="4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eastAsia="zh-CN"/>
              </w:rPr>
              <w:t>序号</w:t>
            </w:r>
          </w:p>
        </w:tc>
        <w:tc>
          <w:tcPr>
            <w:tcW w:w="4422"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spacing w:line="4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eastAsia="zh-CN"/>
              </w:rPr>
              <w:t>教学类竞赛</w:t>
            </w:r>
          </w:p>
        </w:tc>
        <w:tc>
          <w:tcPr>
            <w:tcW w:w="1100"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spacing w:line="4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eastAsia="zh-CN"/>
              </w:rPr>
              <w:t>层次</w:t>
            </w:r>
          </w:p>
        </w:tc>
        <w:tc>
          <w:tcPr>
            <w:tcW w:w="4078"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spacing w:line="400" w:lineRule="exact"/>
              <w:jc w:val="center"/>
              <w:textAlignment w:val="center"/>
              <w:rPr>
                <w:rFonts w:hint="default"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主办单位</w:t>
            </w:r>
          </w:p>
        </w:tc>
        <w:tc>
          <w:tcPr>
            <w:tcW w:w="2432"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spacing w:line="400" w:lineRule="exact"/>
              <w:jc w:val="center"/>
              <w:textAlignment w:val="center"/>
              <w:rPr>
                <w:rFonts w:hint="default"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备注</w:t>
            </w: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1</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全国高校教师教学创新大赛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国A+</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中国高等教育学会</w:t>
            </w:r>
          </w:p>
        </w:tc>
        <w:tc>
          <w:tcPr>
            <w:tcW w:w="2432" w:type="dxa"/>
            <w:vMerge w:val="restart"/>
            <w:tcBorders>
              <w:top w:val="single" w:color="000000" w:sz="4" w:space="0"/>
              <w:left w:val="single" w:color="000000" w:sz="4" w:space="0"/>
              <w:right w:val="single" w:color="000000" w:sz="4" w:space="0"/>
            </w:tcBorders>
            <w:vAlign w:val="center"/>
          </w:tcPr>
          <w:p>
            <w:pPr>
              <w:spacing w:line="4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全国普通高校教师教学竞赛状态数据统计的项目</w:t>
            </w:r>
            <w:r>
              <w:rPr>
                <w:rFonts w:hint="eastAsia" w:ascii="仿宋" w:hAnsi="仿宋" w:eastAsia="仿宋" w:cs="仿宋"/>
                <w:color w:val="000000"/>
                <w:sz w:val="24"/>
                <w:szCs w:val="24"/>
                <w:lang w:val="en-US" w:eastAsia="zh-CN"/>
              </w:rPr>
              <w:t>(2022版）</w:t>
            </w: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2</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全国高校青年教师教学竞赛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国A+</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中华全国总工会、教育部联合</w:t>
            </w:r>
          </w:p>
        </w:tc>
        <w:tc>
          <w:tcPr>
            <w:tcW w:w="2432" w:type="dxa"/>
            <w:vMerge w:val="continue"/>
            <w:tcBorders>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3</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全国高校辅导员素质能力大赛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国A</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教育部思想政治工作司</w:t>
            </w:r>
          </w:p>
        </w:tc>
        <w:tc>
          <w:tcPr>
            <w:tcW w:w="2432" w:type="dxa"/>
            <w:vMerge w:val="continue"/>
            <w:tcBorders>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4</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全国高校思想政治理论课教学展示活动</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国A</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教育部</w:t>
            </w:r>
          </w:p>
        </w:tc>
        <w:tc>
          <w:tcPr>
            <w:tcW w:w="2432" w:type="dxa"/>
            <w:vMerge w:val="continue"/>
            <w:tcBorders>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5</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“高校辅导员年度人物”推选展示活动</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国A</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教育部</w:t>
            </w:r>
          </w:p>
        </w:tc>
        <w:tc>
          <w:tcPr>
            <w:tcW w:w="2432" w:type="dxa"/>
            <w:vMerge w:val="continue"/>
            <w:tcBorders>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全国高校混合式教学创新大赛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国</w:t>
            </w:r>
            <w:r>
              <w:rPr>
                <w:rFonts w:hint="eastAsia" w:ascii="仿宋" w:hAnsi="仿宋" w:eastAsia="仿宋" w:cs="仿宋"/>
                <w:color w:val="000000"/>
                <w:sz w:val="24"/>
                <w:szCs w:val="24"/>
                <w:lang w:val="en-US" w:eastAsia="zh-CN"/>
              </w:rPr>
              <w:t>A</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default" w:ascii="仿宋" w:hAnsi="仿宋" w:eastAsia="仿宋" w:cs="仿宋"/>
                <w:color w:val="000000"/>
                <w:sz w:val="24"/>
                <w:szCs w:val="24"/>
              </w:rPr>
              <w:t>高校教学发展网络（CHED）</w:t>
            </w:r>
          </w:p>
        </w:tc>
        <w:tc>
          <w:tcPr>
            <w:tcW w:w="2432" w:type="dxa"/>
            <w:vMerge w:val="continue"/>
            <w:tcBorders>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“外教社杯”全国高校外语教学大赛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国A</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rPr>
              <w:t>教育部高等学校外国语言文学类专业教学指导委员会、教育部高等学校大学外语教学指导委员会、教育部职业院校外语类专业教学指导委员会、上海外语教育出版社</w:t>
            </w:r>
          </w:p>
        </w:tc>
        <w:tc>
          <w:tcPr>
            <w:tcW w:w="2432" w:type="dxa"/>
            <w:vMerge w:val="continue"/>
            <w:tcBorders>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全国高等学校自制实验教学仪器设备评选活动</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国A</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rPr>
              <w:t>中国高等教育学会</w:t>
            </w:r>
          </w:p>
        </w:tc>
        <w:tc>
          <w:tcPr>
            <w:tcW w:w="2432" w:type="dxa"/>
            <w:vMerge w:val="restart"/>
            <w:tcBorders>
              <w:top w:val="single" w:color="000000" w:sz="4" w:space="0"/>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全国普通高校教师教学竞赛状态数据统计的项目</w:t>
            </w:r>
            <w:r>
              <w:rPr>
                <w:rFonts w:hint="eastAsia" w:ascii="仿宋" w:hAnsi="仿宋" w:eastAsia="仿宋" w:cs="仿宋"/>
                <w:color w:val="000000"/>
                <w:sz w:val="24"/>
                <w:szCs w:val="24"/>
                <w:lang w:val="en-US" w:eastAsia="zh-CN"/>
              </w:rPr>
              <w:t>(2022版）</w:t>
            </w: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9</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全国高等学校物理基础课程（含实验课）青年教师讲课比赛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国A</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rPr>
              <w:t>教育部高等学校大学物理课程教学指导委员会、教育部高等学校物理学专业教学指导委员会</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中国物理学会物理教学委员会</w:t>
            </w:r>
          </w:p>
        </w:tc>
        <w:tc>
          <w:tcPr>
            <w:tcW w:w="2432" w:type="dxa"/>
            <w:vMerge w:val="continue"/>
            <w:tcBorders>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10</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rPr>
              <w:t>全国基础力学青年教师讲课比赛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国A</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rPr>
              <w:t>教育部高等学校力学基础课程教学指导分委员会</w:t>
            </w:r>
          </w:p>
        </w:tc>
        <w:tc>
          <w:tcPr>
            <w:tcW w:w="2432" w:type="dxa"/>
            <w:vMerge w:val="continue"/>
            <w:tcBorders>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11</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全国高等学校结构力学及弹性力学青年教师讲课竞赛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国</w:t>
            </w:r>
            <w:r>
              <w:rPr>
                <w:rFonts w:hint="eastAsia" w:ascii="仿宋" w:hAnsi="仿宋" w:eastAsia="仿宋" w:cs="仿宋"/>
                <w:color w:val="000000"/>
                <w:sz w:val="24"/>
                <w:szCs w:val="24"/>
                <w:lang w:val="en-US" w:eastAsia="zh-CN"/>
              </w:rPr>
              <w:t>A</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rPr>
              <w:t>教育部高等学校力学基础课程教学指导分委员会</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结构力学与弹性力学课程教学指导小组</w:t>
            </w:r>
          </w:p>
        </w:tc>
        <w:tc>
          <w:tcPr>
            <w:tcW w:w="2432" w:type="dxa"/>
            <w:vMerge w:val="continue"/>
            <w:tcBorders>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12</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全国高等学校电子信息类专业青年教师授课竞赛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国A</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rPr>
              <w:t>教育部高等学校电子信息类专业教学指导委员会、工业和信息化部教育与考试中心</w:t>
            </w:r>
          </w:p>
        </w:tc>
        <w:tc>
          <w:tcPr>
            <w:tcW w:w="2432" w:type="dxa"/>
            <w:vMerge w:val="continue"/>
            <w:tcBorders>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13</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全国高等学校青年教师电工学课程教学竞赛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国A</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rPr>
              <w:t>教育部电工电子基础课程教学指导委员会、中国高等学校电工学</w:t>
            </w:r>
          </w:p>
        </w:tc>
        <w:tc>
          <w:tcPr>
            <w:tcW w:w="2432" w:type="dxa"/>
            <w:vMerge w:val="continue"/>
            <w:tcBorders>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en-US" w:bidi="ar-SA"/>
              </w:rPr>
            </w:pPr>
            <w:r>
              <w:rPr>
                <w:rFonts w:hint="eastAsia" w:ascii="仿宋" w:hAnsi="仿宋" w:eastAsia="仿宋" w:cs="仿宋"/>
                <w:color w:val="000000"/>
                <w:sz w:val="24"/>
                <w:szCs w:val="24"/>
                <w:lang w:eastAsia="zh-CN"/>
              </w:rPr>
              <w:t>14</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全国高校自动化类专业青年教师讲课（说课）大赛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国A</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rPr>
              <w:t>教育部高等学校自动化类专业教学指导委员会</w:t>
            </w:r>
          </w:p>
        </w:tc>
        <w:tc>
          <w:tcPr>
            <w:tcW w:w="2432" w:type="dxa"/>
            <w:vMerge w:val="continue"/>
            <w:tcBorders>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15</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西浦全国大学教学创新大赛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国B</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rPr>
              <w:t>西交利物浦大学领导与教育前沿研究院(ILEAD)</w:t>
            </w:r>
          </w:p>
        </w:tc>
        <w:tc>
          <w:tcPr>
            <w:tcW w:w="2432" w:type="dxa"/>
            <w:vMerge w:val="continue"/>
            <w:tcBorders>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16</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全国高校自动化专业青年教师实验设备设计“创客大赛”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国</w:t>
            </w:r>
            <w:r>
              <w:rPr>
                <w:rFonts w:hint="eastAsia" w:ascii="仿宋" w:hAnsi="仿宋" w:eastAsia="仿宋" w:cs="仿宋"/>
                <w:color w:val="000000"/>
                <w:sz w:val="24"/>
                <w:szCs w:val="24"/>
                <w:lang w:val="en-US" w:eastAsia="zh-CN"/>
              </w:rPr>
              <w:t>B</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rPr>
              <w:t>教育部高等学校自动化类专业教学指导委员会</w:t>
            </w:r>
          </w:p>
        </w:tc>
        <w:tc>
          <w:tcPr>
            <w:tcW w:w="2432" w:type="dxa"/>
            <w:vMerge w:val="continue"/>
            <w:tcBorders>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17</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bidi="ar"/>
              </w:rPr>
              <w:t>全国高等学校教师图学与机械课程示范教学与创新教学法观摩竞赛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国</w:t>
            </w:r>
            <w:r>
              <w:rPr>
                <w:rFonts w:hint="eastAsia" w:ascii="仿宋" w:hAnsi="仿宋" w:eastAsia="仿宋" w:cs="仿宋"/>
                <w:color w:val="000000"/>
                <w:sz w:val="24"/>
                <w:szCs w:val="24"/>
                <w:lang w:val="en-US" w:eastAsia="zh-CN"/>
              </w:rPr>
              <w:t>B</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rPr>
              <w:t>全国高等学校教师图学与机械课程示范教学与创新教学法观摩竞赛组委会</w:t>
            </w:r>
          </w:p>
        </w:tc>
        <w:tc>
          <w:tcPr>
            <w:tcW w:w="2432" w:type="dxa"/>
            <w:vMerge w:val="continue"/>
            <w:tcBorders>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en-US" w:bidi="ar-SA"/>
              </w:rPr>
            </w:pPr>
            <w:r>
              <w:rPr>
                <w:rFonts w:hint="eastAsia" w:ascii="仿宋" w:hAnsi="仿宋" w:eastAsia="仿宋" w:cs="仿宋"/>
                <w:color w:val="000000"/>
                <w:sz w:val="24"/>
                <w:szCs w:val="24"/>
                <w:lang w:eastAsia="zh-CN"/>
              </w:rPr>
              <w:t>18</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全国高等学校青年教师电子技术基础、电子线路课程授课竞赛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国</w:t>
            </w:r>
            <w:r>
              <w:rPr>
                <w:rFonts w:hint="eastAsia" w:ascii="仿宋" w:hAnsi="仿宋" w:eastAsia="仿宋" w:cs="仿宋"/>
                <w:color w:val="000000"/>
                <w:sz w:val="24"/>
                <w:szCs w:val="24"/>
                <w:lang w:val="en-US" w:eastAsia="zh-CN"/>
              </w:rPr>
              <w:t>B</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rPr>
              <w:t>中国电子学会电子线路教学与产业专家委员会、教育部电子线路和电子技术课程群虚拟教研室、全国高等学校电子技术研究会</w:t>
            </w:r>
          </w:p>
        </w:tc>
        <w:tc>
          <w:tcPr>
            <w:tcW w:w="2432" w:type="dxa"/>
            <w:vMerge w:val="continue"/>
            <w:tcBorders>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19</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全国高校数学微课程教学设计竞赛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国</w:t>
            </w:r>
            <w:r>
              <w:rPr>
                <w:rFonts w:hint="eastAsia" w:ascii="仿宋" w:hAnsi="仿宋" w:eastAsia="仿宋" w:cs="仿宋"/>
                <w:color w:val="000000"/>
                <w:sz w:val="24"/>
                <w:szCs w:val="24"/>
                <w:lang w:val="en-US" w:eastAsia="zh-CN"/>
              </w:rPr>
              <w:t>B</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rPr>
              <w:t>教育部高等学校大学数学课程教学指</w:t>
            </w:r>
            <w:bookmarkStart w:id="0" w:name="_GoBack"/>
            <w:bookmarkEnd w:id="0"/>
            <w:r>
              <w:rPr>
                <w:rFonts w:hint="eastAsia" w:ascii="仿宋" w:hAnsi="仿宋" w:eastAsia="仿宋" w:cs="仿宋"/>
                <w:color w:val="000000"/>
                <w:sz w:val="24"/>
                <w:szCs w:val="24"/>
              </w:rPr>
              <w:t>导委员会</w:t>
            </w:r>
          </w:p>
        </w:tc>
        <w:tc>
          <w:tcPr>
            <w:tcW w:w="2432" w:type="dxa"/>
            <w:vMerge w:val="continue"/>
            <w:tcBorders>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val="en-US" w:eastAsia="zh-CN"/>
              </w:rPr>
              <w:t>20</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全国高等院校英语教师教学基本功大赛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国</w:t>
            </w:r>
            <w:r>
              <w:rPr>
                <w:rFonts w:hint="eastAsia" w:ascii="仿宋" w:hAnsi="仿宋" w:eastAsia="仿宋" w:cs="仿宋"/>
                <w:color w:val="000000"/>
                <w:sz w:val="24"/>
                <w:szCs w:val="24"/>
                <w:lang w:val="en-US" w:eastAsia="zh-CN"/>
              </w:rPr>
              <w:t>B</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高等学校大学外语教学研究会、全国高等师范院校外语教学与研究协作组</w:t>
            </w:r>
          </w:p>
        </w:tc>
        <w:tc>
          <w:tcPr>
            <w:tcW w:w="2432" w:type="dxa"/>
            <w:vMerge w:val="continue"/>
            <w:tcBorders>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21</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全国高等学校青年教师电路、信号与系统、电磁场课程教学竞赛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国B</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高等学校电路和信号系统教材研究会、高等学校电磁场教学与教材研究会</w:t>
            </w:r>
          </w:p>
        </w:tc>
        <w:tc>
          <w:tcPr>
            <w:tcW w:w="2432" w:type="dxa"/>
            <w:vMerge w:val="continue"/>
            <w:tcBorders>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22</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外研社“教学之星”大赛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国B</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北京外国语大学中国外语与教育研究中心、北京外国语大学中国外语教材研究中心、全国基础外语教育研究培训中心多语种教育发展分中心和外语教学与研究出版社</w:t>
            </w:r>
          </w:p>
        </w:tc>
        <w:tc>
          <w:tcPr>
            <w:tcW w:w="2432" w:type="dxa"/>
            <w:vMerge w:val="restart"/>
            <w:tcBorders>
              <w:top w:val="single" w:color="000000" w:sz="4" w:space="0"/>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全国普通高校教师教学竞赛状态数据统计的项目</w:t>
            </w:r>
            <w:r>
              <w:rPr>
                <w:rFonts w:hint="eastAsia" w:ascii="仿宋" w:hAnsi="仿宋" w:eastAsia="仿宋" w:cs="仿宋"/>
                <w:color w:val="000000"/>
                <w:sz w:val="24"/>
                <w:szCs w:val="24"/>
                <w:lang w:val="en-US" w:eastAsia="zh-CN"/>
              </w:rPr>
              <w:t>(2022版）</w:t>
            </w: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23</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全国电工电子基础课程实验教学案例设计竞赛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国B</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中国电子学会、国家级实验教学示范中心联席会电子学科组</w:t>
            </w:r>
          </w:p>
        </w:tc>
        <w:tc>
          <w:tcPr>
            <w:tcW w:w="2432" w:type="dxa"/>
            <w:vMerge w:val="continue"/>
            <w:tcBorders>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24</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全省本科高校青年教师教学竞赛暨全国本科高校青年教师教学竞赛选拔赛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省A+</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江苏省总工会、江苏省人社厅、江苏省教育厅、江苏团省委</w:t>
            </w:r>
          </w:p>
        </w:tc>
        <w:tc>
          <w:tcPr>
            <w:tcW w:w="2432" w:type="dxa"/>
            <w:vMerge w:val="restart"/>
            <w:tcBorders>
              <w:top w:val="single" w:color="000000" w:sz="4" w:space="0"/>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2023年全省普通高校教师教学竞赛省级赛事认定结果</w:t>
            </w: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25</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全国高校教师教学创新大赛(江苏省赛)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省A+</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中国高等教育学会、江苏省高等教育学会、有关本科高校</w:t>
            </w:r>
          </w:p>
        </w:tc>
        <w:tc>
          <w:tcPr>
            <w:tcW w:w="2432" w:type="dxa"/>
            <w:vMerge w:val="continue"/>
            <w:tcBorders>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26</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江苏省高校就业创业指导教师教学技能大赛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省A</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江苏省教育厅、江苏省高校招生就业指导服务中心</w:t>
            </w:r>
          </w:p>
        </w:tc>
        <w:tc>
          <w:tcPr>
            <w:tcW w:w="2432" w:type="dxa"/>
            <w:vMerge w:val="continue"/>
            <w:tcBorders>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27</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江苏省高校微课教学比赛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省A</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江苏省高等学校教育信息化研究会</w:t>
            </w:r>
          </w:p>
        </w:tc>
        <w:tc>
          <w:tcPr>
            <w:tcW w:w="2432" w:type="dxa"/>
            <w:vMerge w:val="continue"/>
            <w:tcBorders>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28</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江苏省高校体育教师微课比赛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省A</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江苏省教育厅</w:t>
            </w:r>
          </w:p>
        </w:tc>
        <w:tc>
          <w:tcPr>
            <w:tcW w:w="2432" w:type="dxa"/>
            <w:vMerge w:val="continue"/>
            <w:tcBorders>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29</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江苏高校辅导员素质能力大赛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省A</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江苏省委教育工委、省教育厅</w:t>
            </w:r>
          </w:p>
        </w:tc>
        <w:tc>
          <w:tcPr>
            <w:tcW w:w="2432" w:type="dxa"/>
            <w:vMerge w:val="continue"/>
            <w:tcBorders>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30</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江苏高校外国留学生教学观摩比赛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省A</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江苏省高等教育学会外国留学生教育管理研究委员会</w:t>
            </w:r>
          </w:p>
        </w:tc>
        <w:tc>
          <w:tcPr>
            <w:tcW w:w="2432" w:type="dxa"/>
            <w:vMerge w:val="continue"/>
            <w:tcBorders>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31</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江苏省高校基础物理教师上好一堂课竞赛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省</w:t>
            </w:r>
            <w:r>
              <w:rPr>
                <w:rFonts w:hint="eastAsia" w:ascii="仿宋" w:hAnsi="仿宋" w:eastAsia="仿宋" w:cs="仿宋"/>
                <w:color w:val="000000"/>
                <w:sz w:val="24"/>
                <w:szCs w:val="24"/>
                <w:lang w:val="en-US" w:eastAsia="zh-CN"/>
              </w:rPr>
              <w:t>B</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江苏省物理学会</w:t>
            </w:r>
          </w:p>
        </w:tc>
        <w:tc>
          <w:tcPr>
            <w:tcW w:w="2432" w:type="dxa"/>
            <w:vMerge w:val="restart"/>
            <w:tcBorders>
              <w:top w:val="single" w:color="000000" w:sz="4" w:space="0"/>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2023年全省普通高校教师教学竞赛省级赛事认定结果</w:t>
            </w: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32</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“外教社杯”全国高校外语教学大赛江苏省赛区比赛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省</w:t>
            </w:r>
            <w:r>
              <w:rPr>
                <w:rFonts w:hint="eastAsia" w:ascii="仿宋" w:hAnsi="仿宋" w:eastAsia="仿宋" w:cs="仿宋"/>
                <w:color w:val="000000"/>
                <w:sz w:val="24"/>
                <w:szCs w:val="24"/>
                <w:lang w:val="en-US" w:eastAsia="zh-CN"/>
              </w:rPr>
              <w:t>B</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江苏省高等学校外国语教学研究会、上海外语教育出版社</w:t>
            </w:r>
          </w:p>
        </w:tc>
        <w:tc>
          <w:tcPr>
            <w:tcW w:w="2432" w:type="dxa"/>
            <w:vMerge w:val="continue"/>
            <w:tcBorders>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33</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江苏省高校数学基础课青年教师授课竞赛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省</w:t>
            </w:r>
            <w:r>
              <w:rPr>
                <w:rFonts w:hint="eastAsia" w:ascii="仿宋" w:hAnsi="仿宋" w:eastAsia="仿宋" w:cs="仿宋"/>
                <w:color w:val="000000"/>
                <w:sz w:val="24"/>
                <w:szCs w:val="24"/>
                <w:lang w:val="en-US" w:eastAsia="zh-CN"/>
              </w:rPr>
              <w:t>B</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江苏省高等学校数学教学研究会</w:t>
            </w:r>
          </w:p>
        </w:tc>
        <w:tc>
          <w:tcPr>
            <w:tcW w:w="2432" w:type="dxa"/>
            <w:vMerge w:val="continue"/>
            <w:tcBorders>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34</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江苏省高校土木工程专业青年教师讲课竞赛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省</w:t>
            </w:r>
            <w:r>
              <w:rPr>
                <w:rFonts w:hint="eastAsia" w:ascii="仿宋" w:hAnsi="仿宋" w:eastAsia="仿宋" w:cs="仿宋"/>
                <w:color w:val="000000"/>
                <w:sz w:val="24"/>
                <w:szCs w:val="24"/>
                <w:lang w:val="en-US" w:eastAsia="zh-CN"/>
              </w:rPr>
              <w:t>B</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江苏省土木建筑学会、江苏省土木建筑学会教育工作委员会</w:t>
            </w:r>
          </w:p>
        </w:tc>
        <w:tc>
          <w:tcPr>
            <w:tcW w:w="2432" w:type="dxa"/>
            <w:vMerge w:val="continue"/>
            <w:tcBorders>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35</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江苏省工科基础力学青年教师讲课竞赛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省</w:t>
            </w:r>
            <w:r>
              <w:rPr>
                <w:rFonts w:hint="eastAsia" w:ascii="仿宋" w:hAnsi="仿宋" w:eastAsia="仿宋" w:cs="仿宋"/>
                <w:color w:val="000000"/>
                <w:sz w:val="24"/>
                <w:szCs w:val="24"/>
                <w:lang w:val="en-US" w:eastAsia="zh-CN"/>
              </w:rPr>
              <w:t>B</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江苏省工科基础力学青年教师讲课竞赛组委会、江苏省力学学会、江苏省高等学校力学土建类教学指导委员会</w:t>
            </w:r>
          </w:p>
        </w:tc>
        <w:tc>
          <w:tcPr>
            <w:tcW w:w="2432" w:type="dxa"/>
            <w:vMerge w:val="continue"/>
            <w:tcBorders>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eastAsia="zh-CN"/>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36</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江苏省工程管理专业青年教师讲课竞赛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省</w:t>
            </w:r>
            <w:r>
              <w:rPr>
                <w:rFonts w:hint="eastAsia" w:ascii="仿宋" w:hAnsi="仿宋" w:eastAsia="仿宋" w:cs="仿宋"/>
                <w:color w:val="000000"/>
                <w:sz w:val="24"/>
                <w:szCs w:val="24"/>
                <w:lang w:val="en-US" w:eastAsia="zh-CN"/>
              </w:rPr>
              <w:t>B</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en-US"/>
              </w:rPr>
            </w:pPr>
            <w:r>
              <w:rPr>
                <w:rFonts w:hint="eastAsia" w:ascii="仿宋" w:hAnsi="仿宋" w:eastAsia="仿宋" w:cs="仿宋"/>
                <w:color w:val="000000"/>
                <w:sz w:val="24"/>
                <w:szCs w:val="24"/>
                <w:lang w:eastAsia="zh-CN"/>
              </w:rPr>
              <w:t>江苏省土木建筑学会</w:t>
            </w:r>
          </w:p>
        </w:tc>
        <w:tc>
          <w:tcPr>
            <w:tcW w:w="2432" w:type="dxa"/>
            <w:vMerge w:val="continue"/>
            <w:tcBorders>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37</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“高教社杯”全国高等学校外语课程思政教学比赛江苏赛区比赛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省B</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江苏省高等学校外国语教学研究会、高等教育出版社</w:t>
            </w:r>
          </w:p>
        </w:tc>
        <w:tc>
          <w:tcPr>
            <w:tcW w:w="2432" w:type="dxa"/>
            <w:vMerge w:val="continue"/>
            <w:tcBorders>
              <w:left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8"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38</w:t>
            </w:r>
          </w:p>
        </w:tc>
        <w:tc>
          <w:tcPr>
            <w:tcW w:w="442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全国高校英语教师“教学之星”大赛江苏赛区比赛</w:t>
            </w:r>
          </w:p>
        </w:tc>
        <w:tc>
          <w:tcPr>
            <w:tcW w:w="110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省B</w:t>
            </w:r>
          </w:p>
        </w:tc>
        <w:tc>
          <w:tcPr>
            <w:tcW w:w="407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外语教学与研究出版社</w:t>
            </w:r>
          </w:p>
        </w:tc>
        <w:tc>
          <w:tcPr>
            <w:tcW w:w="2432" w:type="dxa"/>
            <w:vMerge w:val="continue"/>
            <w:tcBorders>
              <w:left w:val="single" w:color="000000" w:sz="4" w:space="0"/>
              <w:bottom w:val="single" w:color="000000" w:sz="4" w:space="0"/>
              <w:right w:val="single" w:color="000000" w:sz="4" w:space="0"/>
            </w:tcBorders>
            <w:vAlign w:val="center"/>
          </w:tcPr>
          <w:p>
            <w:pPr>
              <w:spacing w:line="400" w:lineRule="exact"/>
              <w:jc w:val="center"/>
              <w:textAlignment w:val="center"/>
              <w:rPr>
                <w:rFonts w:hint="eastAsia" w:ascii="仿宋" w:hAnsi="仿宋" w:eastAsia="仿宋" w:cs="仿宋"/>
                <w:color w:val="000000"/>
                <w:sz w:val="24"/>
                <w:szCs w:val="24"/>
              </w:rPr>
            </w:pPr>
          </w:p>
        </w:tc>
      </w:tr>
    </w:tbl>
    <w:p>
      <w:pPr>
        <w:adjustRightInd w:val="0"/>
        <w:snapToGrid w:val="0"/>
        <w:spacing w:line="440" w:lineRule="exact"/>
        <w:ind w:firstLine="420"/>
        <w:rPr>
          <w:rFonts w:eastAsia="仿宋_GB2312"/>
          <w:bCs/>
          <w:spacing w:val="-3"/>
          <w:sz w:val="30"/>
          <w:szCs w:val="30"/>
          <w:lang w:eastAsia="zh-CN"/>
        </w:rPr>
      </w:pPr>
      <w:r>
        <w:rPr>
          <w:rFonts w:hint="eastAsia" w:asciiTheme="minorEastAsia" w:hAnsiTheme="minorEastAsia"/>
          <w:lang w:eastAsia="zh-CN"/>
        </w:rPr>
        <w:t>备注：1</w:t>
      </w:r>
      <w:r>
        <w:rPr>
          <w:rFonts w:asciiTheme="minorEastAsia" w:hAnsiTheme="minorEastAsia"/>
          <w:lang w:eastAsia="zh-CN"/>
        </w:rPr>
        <w:t>.</w:t>
      </w:r>
      <w:r>
        <w:rPr>
          <w:rFonts w:hint="eastAsia" w:cs="宋体" w:asciiTheme="minorEastAsia" w:hAnsiTheme="minorEastAsia"/>
          <w:color w:val="000000"/>
          <w:lang w:eastAsia="zh-CN"/>
        </w:rPr>
        <w:t>未列入此名单</w:t>
      </w:r>
      <w:r>
        <w:rPr>
          <w:rFonts w:hint="eastAsia" w:cs="宋体" w:asciiTheme="minorEastAsia" w:hAnsiTheme="minorEastAsia"/>
          <w:color w:val="000000"/>
          <w:lang w:val="en-US" w:eastAsia="zh-CN"/>
        </w:rPr>
        <w:t>的省级及以上教学竞赛项目，可由学院提交</w:t>
      </w:r>
      <w:r>
        <w:rPr>
          <w:rFonts w:hint="eastAsia" w:cs="宋体" w:asciiTheme="minorEastAsia" w:hAnsiTheme="minorEastAsia"/>
          <w:color w:val="000000"/>
          <w:lang w:eastAsia="zh-CN"/>
        </w:rPr>
        <w:t>竞赛</w:t>
      </w:r>
      <w:r>
        <w:rPr>
          <w:rFonts w:hint="eastAsia" w:cs="宋体" w:asciiTheme="minorEastAsia" w:hAnsiTheme="minorEastAsia"/>
          <w:color w:val="000000"/>
          <w:lang w:val="en-US" w:eastAsia="zh-CN"/>
        </w:rPr>
        <w:t>认定申请表，由校</w:t>
      </w:r>
      <w:r>
        <w:rPr>
          <w:rFonts w:hint="eastAsia" w:cs="宋体" w:asciiTheme="minorEastAsia" w:hAnsiTheme="minorEastAsia"/>
          <w:color w:val="000000"/>
          <w:lang w:eastAsia="zh-CN"/>
        </w:rPr>
        <w:t>竞赛工作小组</w:t>
      </w:r>
      <w:r>
        <w:rPr>
          <w:rFonts w:hint="eastAsia" w:cs="宋体" w:asciiTheme="minorEastAsia" w:hAnsiTheme="minorEastAsia"/>
          <w:color w:val="000000"/>
          <w:lang w:val="en-US" w:eastAsia="zh-CN"/>
        </w:rPr>
        <w:t>负责组织认定</w:t>
      </w:r>
      <w:r>
        <w:rPr>
          <w:rFonts w:hint="eastAsia" w:cs="宋体" w:asciiTheme="minorEastAsia" w:hAnsiTheme="minorEastAsia"/>
          <w:color w:val="000000"/>
          <w:lang w:eastAsia="zh-CN"/>
        </w:rPr>
        <w:t>。</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MmMyZjZkMmEzY2U2YmRhM2Y1MmQyOWZmNDkyOTkifQ=="/>
  </w:docVars>
  <w:rsids>
    <w:rsidRoot w:val="44702030"/>
    <w:rsid w:val="38803FED"/>
    <w:rsid w:val="44702030"/>
    <w:rsid w:val="4C342E51"/>
    <w:rsid w:val="4C6C0271"/>
    <w:rsid w:val="64553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kern w:val="0"/>
      <w:sz w:val="24"/>
      <w:szCs w:val="24"/>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2023-09-14T01:50:00Z</dcterms:created>
  <dc:creator>YY</dc:creator>
  <cp:lastModifiedBy>YY</cp:lastModifiedBy>
  <dcterms:modified xsi:type="dcterms:W3CDTF">2023-12-04T13:56:40Z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E03AFA64226D4773924E4F0FED3BB479_11</vt:lpwstr>
  </property>
</Properties>
</file>