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E4D42" w14:textId="55D514F7" w:rsidR="009E4B76" w:rsidRDefault="009E4B76" w:rsidP="00DB7E02">
      <w:pPr>
        <w:widowControl/>
        <w:spacing w:line="400" w:lineRule="exact"/>
        <w:jc w:val="center"/>
        <w:outlineLvl w:val="0"/>
        <w:rPr>
          <w:rFonts w:ascii="宋体" w:eastAsia="宋体" w:hAnsi="宋体" w:cs="宋体"/>
          <w:b/>
          <w:bCs/>
          <w:kern w:val="36"/>
          <w:sz w:val="32"/>
          <w:szCs w:val="24"/>
        </w:rPr>
      </w:pPr>
      <w:r w:rsidRPr="009E4B76">
        <w:rPr>
          <w:rFonts w:ascii="宋体" w:eastAsia="宋体" w:hAnsi="宋体" w:cs="宋体" w:hint="eastAsia"/>
          <w:b/>
          <w:bCs/>
          <w:kern w:val="36"/>
          <w:sz w:val="32"/>
          <w:szCs w:val="24"/>
        </w:rPr>
        <w:t>干货分享</w:t>
      </w:r>
      <w:r w:rsidRPr="009E4B76">
        <w:rPr>
          <w:rFonts w:ascii="宋体" w:eastAsia="宋体" w:hAnsi="宋体" w:cs="宋体"/>
          <w:b/>
          <w:bCs/>
          <w:kern w:val="36"/>
          <w:sz w:val="32"/>
          <w:szCs w:val="24"/>
        </w:rPr>
        <w:t xml:space="preserve"> | 国家级第三批一流课程赛道分析与</w:t>
      </w:r>
      <w:proofErr w:type="gramStart"/>
      <w:r w:rsidRPr="009E4B76">
        <w:rPr>
          <w:rFonts w:ascii="宋体" w:eastAsia="宋体" w:hAnsi="宋体" w:cs="宋体"/>
          <w:b/>
          <w:bCs/>
          <w:kern w:val="36"/>
          <w:sz w:val="32"/>
          <w:szCs w:val="24"/>
        </w:rPr>
        <w:t>申报全</w:t>
      </w:r>
      <w:proofErr w:type="gramEnd"/>
      <w:r w:rsidRPr="009E4B76">
        <w:rPr>
          <w:rFonts w:ascii="宋体" w:eastAsia="宋体" w:hAnsi="宋体" w:cs="宋体"/>
          <w:b/>
          <w:bCs/>
          <w:kern w:val="36"/>
          <w:sz w:val="32"/>
          <w:szCs w:val="24"/>
        </w:rPr>
        <w:t xml:space="preserve">流程攻略 - 知乎  </w:t>
      </w:r>
      <w:hyperlink r:id="rId7" w:history="1">
        <w:r w:rsidRPr="00BE1D42">
          <w:rPr>
            <w:rStyle w:val="a7"/>
            <w:rFonts w:ascii="宋体" w:eastAsia="宋体" w:hAnsi="宋体" w:cs="宋体"/>
            <w:b/>
            <w:bCs/>
            <w:kern w:val="36"/>
            <w:sz w:val="32"/>
            <w:szCs w:val="24"/>
          </w:rPr>
          <w:t>https://zhuanlan.zhihu.com/p/638152474</w:t>
        </w:r>
      </w:hyperlink>
    </w:p>
    <w:p w14:paraId="03C28858" w14:textId="77777777" w:rsidR="009E4B76" w:rsidRDefault="009E4B76" w:rsidP="00DB7E02">
      <w:pPr>
        <w:widowControl/>
        <w:spacing w:line="400" w:lineRule="exact"/>
        <w:jc w:val="left"/>
      </w:pPr>
    </w:p>
    <w:p w14:paraId="43B434EF" w14:textId="6A9225D7" w:rsidR="00EA027B" w:rsidRPr="00EA027B" w:rsidRDefault="00EA027B" w:rsidP="009E4B76">
      <w:pPr>
        <w:widowControl/>
        <w:jc w:val="left"/>
        <w:rPr>
          <w:rFonts w:ascii="宋体" w:eastAsia="宋体" w:hAnsi="宋体" w:cs="宋体"/>
          <w:b/>
          <w:bCs/>
          <w:color w:val="454545"/>
          <w:kern w:val="0"/>
          <w:sz w:val="24"/>
          <w:szCs w:val="24"/>
        </w:rPr>
      </w:pPr>
      <w:r w:rsidRPr="00EA027B">
        <w:rPr>
          <w:rFonts w:ascii="宋体" w:eastAsia="宋体" w:hAnsi="宋体" w:cs="宋体"/>
          <w:noProof/>
          <w:color w:val="0000FF"/>
          <w:kern w:val="0"/>
          <w:sz w:val="24"/>
          <w:szCs w:val="24"/>
        </w:rPr>
        <w:drawing>
          <wp:inline distT="0" distB="0" distL="0" distR="0" wp14:anchorId="41CFDD6A" wp14:editId="324C0427">
            <wp:extent cx="457200" cy="457200"/>
            <wp:effectExtent l="0" t="0" r="0" b="0"/>
            <wp:docPr id="6" name="图片 6" descr="师途学堂Pro">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师途学堂Pro">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hyperlink r:id="rId10" w:tgtFrame="_blank" w:history="1">
        <w:proofErr w:type="gramStart"/>
        <w:r w:rsidRPr="00EA027B">
          <w:rPr>
            <w:rFonts w:ascii="宋体" w:eastAsia="宋体" w:hAnsi="宋体" w:cs="宋体"/>
            <w:b/>
            <w:bCs/>
            <w:color w:val="0000FF"/>
            <w:kern w:val="0"/>
            <w:sz w:val="24"/>
            <w:szCs w:val="24"/>
            <w:u w:val="single"/>
          </w:rPr>
          <w:t>师途学堂</w:t>
        </w:r>
        <w:proofErr w:type="gramEnd"/>
        <w:r w:rsidRPr="00EA027B">
          <w:rPr>
            <w:rFonts w:ascii="宋体" w:eastAsia="宋体" w:hAnsi="宋体" w:cs="宋体"/>
            <w:b/>
            <w:bCs/>
            <w:color w:val="0000FF"/>
            <w:kern w:val="0"/>
            <w:sz w:val="24"/>
            <w:szCs w:val="24"/>
            <w:u w:val="single"/>
          </w:rPr>
          <w:t>Pro</w:t>
        </w:r>
      </w:hyperlink>
    </w:p>
    <w:p w14:paraId="735F8AD7"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近日，教育部公布了第二批国家级一流本科课程名单，共有5750门</w:t>
      </w:r>
      <w:proofErr w:type="gramStart"/>
      <w:r w:rsidRPr="00EA027B">
        <w:rPr>
          <w:rFonts w:ascii="宋体" w:eastAsia="宋体" w:hAnsi="宋体" w:cs="宋体" w:hint="eastAsia"/>
          <w:color w:val="121212"/>
          <w:kern w:val="0"/>
          <w:sz w:val="24"/>
          <w:szCs w:val="24"/>
        </w:rPr>
        <w:t>课程获</w:t>
      </w:r>
      <w:proofErr w:type="gramEnd"/>
      <w:r w:rsidRPr="00EA027B">
        <w:rPr>
          <w:rFonts w:ascii="宋体" w:eastAsia="宋体" w:hAnsi="宋体" w:cs="宋体" w:hint="eastAsia"/>
          <w:color w:val="121212"/>
          <w:kern w:val="0"/>
          <w:sz w:val="24"/>
          <w:szCs w:val="24"/>
        </w:rPr>
        <w:t>认定，其中包括1095门线上一流课程，472门虚拟仿真实验教学一流课程，1800门线上线下混合式一流课程，2076门线下一流课程，307门社会实践一流课程。这是教育部实施一流本科课程“双万计划”以来推出的第二批国家级一流本科课程，目前国家级一流课程数量已经过万。</w:t>
      </w:r>
    </w:p>
    <w:p w14:paraId="335E4807"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proofErr w:type="gramStart"/>
      <w:r w:rsidRPr="00EA027B">
        <w:rPr>
          <w:rFonts w:ascii="宋体" w:eastAsia="宋体" w:hAnsi="宋体" w:cs="宋体" w:hint="eastAsia"/>
          <w:color w:val="121212"/>
          <w:kern w:val="0"/>
          <w:sz w:val="24"/>
          <w:szCs w:val="24"/>
        </w:rPr>
        <w:t>师途学堂</w:t>
      </w:r>
      <w:proofErr w:type="gramEnd"/>
      <w:r w:rsidRPr="00EA027B">
        <w:rPr>
          <w:rFonts w:ascii="宋体" w:eastAsia="宋体" w:hAnsi="宋体" w:cs="宋体" w:hint="eastAsia"/>
          <w:color w:val="121212"/>
          <w:kern w:val="0"/>
          <w:sz w:val="24"/>
          <w:szCs w:val="24"/>
        </w:rPr>
        <w:t>为助力高校教师成功申报第三批国家级一流课程，整合互联网信息资源，并调研了几十位评委专家以及有申报经验</w:t>
      </w:r>
      <w:bookmarkStart w:id="0" w:name="_GoBack"/>
      <w:bookmarkEnd w:id="0"/>
      <w:r w:rsidRPr="00EA027B">
        <w:rPr>
          <w:rFonts w:ascii="宋体" w:eastAsia="宋体" w:hAnsi="宋体" w:cs="宋体" w:hint="eastAsia"/>
          <w:color w:val="121212"/>
          <w:kern w:val="0"/>
          <w:sz w:val="24"/>
          <w:szCs w:val="24"/>
        </w:rPr>
        <w:t>的老师们，以往</w:t>
      </w:r>
      <w:proofErr w:type="gramStart"/>
      <w:r w:rsidRPr="00EA027B">
        <w:rPr>
          <w:rFonts w:ascii="宋体" w:eastAsia="宋体" w:hAnsi="宋体" w:cs="宋体" w:hint="eastAsia"/>
          <w:color w:val="121212"/>
          <w:kern w:val="0"/>
          <w:sz w:val="24"/>
          <w:szCs w:val="24"/>
        </w:rPr>
        <w:t>届数</w:t>
      </w:r>
      <w:proofErr w:type="gramEnd"/>
      <w:r w:rsidRPr="00EA027B">
        <w:rPr>
          <w:rFonts w:ascii="宋体" w:eastAsia="宋体" w:hAnsi="宋体" w:cs="宋体" w:hint="eastAsia"/>
          <w:color w:val="121212"/>
          <w:kern w:val="0"/>
          <w:sz w:val="24"/>
          <w:szCs w:val="24"/>
        </w:rPr>
        <w:t>据统计与分析、第三批一流课程申报重点、赛道竞争情况与选择、申报材料内容打造等多维度干货内容，希望能帮助到各位正在申报一流课程的老师们。</w:t>
      </w:r>
    </w:p>
    <w:p w14:paraId="42FDFA00" w14:textId="77777777" w:rsidR="00EA027B" w:rsidRPr="00EA027B" w:rsidRDefault="00EA027B" w:rsidP="00DB7E02">
      <w:pPr>
        <w:widowControl/>
        <w:shd w:val="clear" w:color="auto" w:fill="FFFFFF"/>
        <w:spacing w:line="400" w:lineRule="exact"/>
        <w:jc w:val="left"/>
        <w:rPr>
          <w:rFonts w:ascii="宋体" w:eastAsia="宋体" w:hAnsi="宋体" w:cs="宋体"/>
          <w:color w:val="121212"/>
          <w:kern w:val="0"/>
          <w:sz w:val="24"/>
          <w:szCs w:val="24"/>
        </w:rPr>
      </w:pPr>
      <w:r w:rsidRPr="00EA027B">
        <w:rPr>
          <w:rFonts w:ascii="宋体" w:eastAsia="宋体" w:hAnsi="宋体" w:cs="宋体" w:hint="eastAsia"/>
          <w:b/>
          <w:bCs/>
          <w:color w:val="121212"/>
          <w:kern w:val="0"/>
          <w:sz w:val="24"/>
          <w:szCs w:val="24"/>
        </w:rPr>
        <w:t>一、前两批国家一流本科课程部属院校数量较多</w:t>
      </w:r>
    </w:p>
    <w:p w14:paraId="246CBA74"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全国高校共拥有前两批国家级一流本科课程10867门。其中部属</w:t>
      </w:r>
      <w:proofErr w:type="gramStart"/>
      <w:r w:rsidRPr="00EA027B">
        <w:rPr>
          <w:rFonts w:ascii="宋体" w:eastAsia="宋体" w:hAnsi="宋体" w:cs="宋体" w:hint="eastAsia"/>
          <w:color w:val="121212"/>
          <w:kern w:val="0"/>
          <w:sz w:val="24"/>
          <w:szCs w:val="24"/>
        </w:rPr>
        <w:t>院校获批数量</w:t>
      </w:r>
      <w:proofErr w:type="gramEnd"/>
      <w:r w:rsidRPr="00EA027B">
        <w:rPr>
          <w:rFonts w:ascii="宋体" w:eastAsia="宋体" w:hAnsi="宋体" w:cs="宋体" w:hint="eastAsia"/>
          <w:color w:val="121212"/>
          <w:kern w:val="0"/>
          <w:sz w:val="24"/>
          <w:szCs w:val="24"/>
        </w:rPr>
        <w:t xml:space="preserve">的确很多，排名前10的高校为：清华大学 221 </w:t>
      </w:r>
      <w:proofErr w:type="gramStart"/>
      <w:r w:rsidRPr="00EA027B">
        <w:rPr>
          <w:rFonts w:ascii="宋体" w:eastAsia="宋体" w:hAnsi="宋体" w:cs="宋体" w:hint="eastAsia"/>
          <w:color w:val="121212"/>
          <w:kern w:val="0"/>
          <w:sz w:val="24"/>
          <w:szCs w:val="24"/>
        </w:rPr>
        <w:t>个</w:t>
      </w:r>
      <w:proofErr w:type="gramEnd"/>
      <w:r w:rsidRPr="00EA027B">
        <w:rPr>
          <w:rFonts w:ascii="宋体" w:eastAsia="宋体" w:hAnsi="宋体" w:cs="宋体" w:hint="eastAsia"/>
          <w:color w:val="121212"/>
          <w:kern w:val="0"/>
          <w:sz w:val="24"/>
          <w:szCs w:val="24"/>
        </w:rPr>
        <w:t>（线上170，这代表数字化教学的一种趋势）、北京大学 155个（线上90）、 西安交通大学 129个（线上74）、 四川大学 128个、 浙江大学 121个、 山东大学 115 个、武汉大学114 个、哈尔滨工业大学 109 个、同济大学 109 个、上海交通大学 108个。可以看出，线上课程的数量基本决定了清华、北大等一些高校的领先优势，混合课程和社会实践课程是许多高校的短板，全国高校之间差别不大，如社会实践课程清华只有1门，浙大竟为0。</w:t>
      </w:r>
    </w:p>
    <w:p w14:paraId="7A39AF8E" w14:textId="471B0CC1" w:rsidR="00EA027B" w:rsidRDefault="00EA027B" w:rsidP="00DB7E02">
      <w:pPr>
        <w:widowControl/>
        <w:numPr>
          <w:ilvl w:val="0"/>
          <w:numId w:val="1"/>
        </w:numPr>
        <w:shd w:val="clear" w:color="auto" w:fill="FFFFFF"/>
        <w:spacing w:line="400" w:lineRule="exact"/>
        <w:ind w:left="0" w:firstLine="0"/>
        <w:jc w:val="left"/>
        <w:rPr>
          <w:rFonts w:ascii="宋体" w:eastAsia="宋体" w:hAnsi="宋体" w:cs="宋体"/>
          <w:color w:val="121212"/>
          <w:kern w:val="0"/>
          <w:sz w:val="24"/>
          <w:szCs w:val="24"/>
        </w:rPr>
      </w:pPr>
      <w:r w:rsidRPr="00EA027B">
        <w:rPr>
          <w:rFonts w:ascii="宋体" w:eastAsia="宋体" w:hAnsi="宋体" w:cs="宋体" w:hint="eastAsia"/>
          <w:b/>
          <w:bCs/>
          <w:color w:val="121212"/>
          <w:kern w:val="0"/>
          <w:sz w:val="24"/>
          <w:szCs w:val="24"/>
        </w:rPr>
        <w:t>参与第三批国家级一流本科课程申报，还有多少机会呢?</w:t>
      </w:r>
      <w:r w:rsidRPr="00EA027B">
        <w:rPr>
          <w:rFonts w:ascii="宋体" w:eastAsia="宋体" w:hAnsi="宋体" w:cs="宋体" w:hint="eastAsia"/>
          <w:color w:val="121212"/>
          <w:kern w:val="0"/>
          <w:sz w:val="24"/>
          <w:szCs w:val="24"/>
        </w:rPr>
        <w:br/>
      </w:r>
      <w:r>
        <w:rPr>
          <w:rFonts w:ascii="宋体" w:eastAsia="宋体" w:hAnsi="宋体" w:cs="宋体" w:hint="eastAsia"/>
          <w:color w:val="121212"/>
          <w:kern w:val="0"/>
          <w:sz w:val="24"/>
          <w:szCs w:val="24"/>
        </w:rPr>
        <w:t xml:space="preserve"> </w:t>
      </w:r>
      <w:r>
        <w:rPr>
          <w:rFonts w:ascii="宋体" w:eastAsia="宋体" w:hAnsi="宋体" w:cs="宋体"/>
          <w:color w:val="121212"/>
          <w:kern w:val="0"/>
          <w:sz w:val="24"/>
          <w:szCs w:val="24"/>
        </w:rPr>
        <w:t xml:space="preserve">  </w:t>
      </w:r>
      <w:r w:rsidRPr="00EA027B">
        <w:rPr>
          <w:rFonts w:ascii="宋体" w:eastAsia="宋体" w:hAnsi="宋体" w:cs="宋体" w:hint="eastAsia"/>
          <w:color w:val="121212"/>
          <w:kern w:val="0"/>
          <w:sz w:val="24"/>
          <w:szCs w:val="24"/>
        </w:rPr>
        <w:t>截至2023年6月，教育部已经进行两批次的国家级一流本科课程认定，总共认定了10867门国家级一流本科课程，占“双万计划”规划认定总数的65%，其中，线上一流本科课程认定了2969门，占规划总数的74%；虚拟仿真一流课程认定了1200门，占规划总数的80%；线上线下混合式一流课程认定了2668门，占规划总数的44%；线下一流课程认定了3539门，占规划总数的88%；社会实践一流课程认定了491门，占规划总数的49%。</w:t>
      </w:r>
    </w:p>
    <w:p w14:paraId="73C53162" w14:textId="57F812E8" w:rsidR="00EA027B" w:rsidRPr="00EA027B" w:rsidRDefault="00EA027B" w:rsidP="00DB7E02">
      <w:pPr>
        <w:widowControl/>
        <w:shd w:val="clear" w:color="auto" w:fill="FFFFFF"/>
        <w:jc w:val="left"/>
        <w:rPr>
          <w:rFonts w:ascii="宋体" w:eastAsia="宋体" w:hAnsi="宋体" w:cs="宋体"/>
          <w:color w:val="121212"/>
          <w:kern w:val="0"/>
          <w:sz w:val="24"/>
          <w:szCs w:val="24"/>
        </w:rPr>
      </w:pPr>
      <w:r>
        <w:rPr>
          <w:noProof/>
        </w:rPr>
        <w:lastRenderedPageBreak/>
        <w:drawing>
          <wp:inline distT="0" distB="0" distL="0" distR="0" wp14:anchorId="2F120F36" wp14:editId="590FB682">
            <wp:extent cx="5274310" cy="2846500"/>
            <wp:effectExtent l="0" t="0" r="254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4310" cy="2846500"/>
                    </a:xfrm>
                    <a:prstGeom prst="rect">
                      <a:avLst/>
                    </a:prstGeom>
                    <a:noFill/>
                    <a:ln>
                      <a:noFill/>
                    </a:ln>
                  </pic:spPr>
                </pic:pic>
              </a:graphicData>
            </a:graphic>
          </wp:inline>
        </w:drawing>
      </w:r>
    </w:p>
    <w:p w14:paraId="2BE2A657" w14:textId="50725914"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国家级一流课程建设规划数量是16500门，过去的两批次已经遴选出10867门国家级一流本科课程。目前</w:t>
      </w:r>
      <w:proofErr w:type="gramStart"/>
      <w:r w:rsidRPr="00EA027B">
        <w:rPr>
          <w:rFonts w:ascii="宋体" w:eastAsia="宋体" w:hAnsi="宋体" w:cs="宋体" w:hint="eastAsia"/>
          <w:color w:val="121212"/>
          <w:kern w:val="0"/>
          <w:sz w:val="24"/>
          <w:szCs w:val="24"/>
        </w:rPr>
        <w:t>”</w:t>
      </w:r>
      <w:proofErr w:type="gramEnd"/>
      <w:r w:rsidRPr="00EA027B">
        <w:rPr>
          <w:rFonts w:ascii="宋体" w:eastAsia="宋体" w:hAnsi="宋体" w:cs="宋体" w:hint="eastAsia"/>
          <w:color w:val="121212"/>
          <w:kern w:val="0"/>
          <w:sz w:val="24"/>
          <w:szCs w:val="24"/>
        </w:rPr>
        <w:t>双万计划“中只剩下5633门国家级一流本科课程还未进行遴选，其中，混合式一流课程3332门，占“双万计划”中未认定总数的59.1%；线上一流课程1031门，占“双万计划”中未认定总数的18.3%；社会实践一流课程509门，占“双万计划”中未认定总数的9%；线下一流课程461门，占“双万计划”中未认定总数的8.2%；虚拟仿真一流课程300门，占“双万计划”中未认定总数的5.3%。</w:t>
      </w:r>
    </w:p>
    <w:p w14:paraId="7C7F1CF4" w14:textId="77777777" w:rsidR="00EA027B" w:rsidRDefault="00EA027B" w:rsidP="00DB7E02">
      <w:pPr>
        <w:widowControl/>
        <w:shd w:val="clear" w:color="auto" w:fill="FFFFFF"/>
        <w:jc w:val="left"/>
        <w:rPr>
          <w:rFonts w:ascii="宋体" w:eastAsia="宋体" w:hAnsi="宋体" w:cs="宋体"/>
          <w:color w:val="121212"/>
          <w:kern w:val="0"/>
          <w:sz w:val="24"/>
          <w:szCs w:val="24"/>
        </w:rPr>
      </w:pPr>
      <w:r>
        <w:rPr>
          <w:noProof/>
        </w:rPr>
        <w:drawing>
          <wp:inline distT="0" distB="0" distL="0" distR="0" wp14:anchorId="66FFF0B8" wp14:editId="2E20D0B4">
            <wp:extent cx="5274310" cy="2868639"/>
            <wp:effectExtent l="0" t="0" r="2540" b="8255"/>
            <wp:docPr id="8" name="图片 8" descr="https://pic4.zhimg.com/v2-4e4c71b04096c1df78ef5a7188a2f0ff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ic4.zhimg.com/v2-4e4c71b04096c1df78ef5a7188a2f0ff_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4310" cy="2868639"/>
                    </a:xfrm>
                    <a:prstGeom prst="rect">
                      <a:avLst/>
                    </a:prstGeom>
                    <a:noFill/>
                    <a:ln>
                      <a:noFill/>
                    </a:ln>
                  </pic:spPr>
                </pic:pic>
              </a:graphicData>
            </a:graphic>
          </wp:inline>
        </w:drawing>
      </w:r>
    </w:p>
    <w:p w14:paraId="0C4893E6" w14:textId="5E76ECBF" w:rsidR="00EA027B" w:rsidRDefault="00EA027B" w:rsidP="00DB7E02">
      <w:pPr>
        <w:widowControl/>
        <w:shd w:val="clear" w:color="auto" w:fill="FFFFFF"/>
        <w:ind w:firstLineChars="200" w:firstLine="420"/>
        <w:jc w:val="left"/>
        <w:rPr>
          <w:rFonts w:ascii="宋体" w:eastAsia="宋体" w:hAnsi="宋体" w:cs="宋体"/>
          <w:color w:val="121212"/>
          <w:kern w:val="0"/>
          <w:sz w:val="24"/>
          <w:szCs w:val="24"/>
        </w:rPr>
      </w:pPr>
      <w:r>
        <w:rPr>
          <w:noProof/>
        </w:rPr>
        <w:lastRenderedPageBreak/>
        <w:drawing>
          <wp:inline distT="0" distB="0" distL="0" distR="0" wp14:anchorId="13653B39" wp14:editId="4EAE2C29">
            <wp:extent cx="4887686" cy="2614808"/>
            <wp:effectExtent l="0" t="0" r="8255" b="0"/>
            <wp:docPr id="4" name="图片 4" descr="https://pic3.zhimg.com/v2-904bdce6c23bfaa5993227848285a5a2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ic3.zhimg.com/v2-904bdce6c23bfaa5993227848285a5a2_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95434" cy="2618953"/>
                    </a:xfrm>
                    <a:prstGeom prst="rect">
                      <a:avLst/>
                    </a:prstGeom>
                    <a:noFill/>
                    <a:ln>
                      <a:noFill/>
                    </a:ln>
                  </pic:spPr>
                </pic:pic>
              </a:graphicData>
            </a:graphic>
          </wp:inline>
        </w:drawing>
      </w:r>
    </w:p>
    <w:p w14:paraId="6752570C" w14:textId="7C7414A2"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综上所述，在国家级一流课程认定中，混合式一流课程是老师们竞争的主战场，当然，这样需要老师们拿出建设改革方向正确、实施效果显著、具有一定特色的优质课程去申报。我不是劝大家不去申报线下或者其他几个类别，而是如果从规划和赛道竞争角度来说，当下第三</w:t>
      </w:r>
      <w:proofErr w:type="gramStart"/>
      <w:r w:rsidRPr="00EA027B">
        <w:rPr>
          <w:rFonts w:ascii="宋体" w:eastAsia="宋体" w:hAnsi="宋体" w:cs="宋体" w:hint="eastAsia"/>
          <w:color w:val="121212"/>
          <w:kern w:val="0"/>
          <w:sz w:val="24"/>
          <w:szCs w:val="24"/>
        </w:rPr>
        <w:t>批次线</w:t>
      </w:r>
      <w:proofErr w:type="gramEnd"/>
      <w:r w:rsidRPr="00EA027B">
        <w:rPr>
          <w:rFonts w:ascii="宋体" w:eastAsia="宋体" w:hAnsi="宋体" w:cs="宋体" w:hint="eastAsia"/>
          <w:color w:val="121212"/>
          <w:kern w:val="0"/>
          <w:sz w:val="24"/>
          <w:szCs w:val="24"/>
        </w:rPr>
        <w:t>上线下混合式一流课程申报成功的机会更大。</w:t>
      </w:r>
      <w:r w:rsidRPr="00EA027B">
        <w:rPr>
          <w:rFonts w:ascii="宋体" w:eastAsia="宋体" w:hAnsi="宋体" w:cs="宋体" w:hint="eastAsia"/>
          <w:color w:val="121212"/>
          <w:kern w:val="0"/>
          <w:sz w:val="24"/>
          <w:szCs w:val="24"/>
        </w:rPr>
        <w:br/>
      </w:r>
      <w:r w:rsidRPr="00EA027B">
        <w:rPr>
          <w:rFonts w:ascii="宋体" w:eastAsia="宋体" w:hAnsi="宋体" w:cs="宋体" w:hint="eastAsia"/>
          <w:b/>
          <w:bCs/>
          <w:color w:val="121212"/>
          <w:kern w:val="0"/>
          <w:sz w:val="24"/>
          <w:szCs w:val="24"/>
        </w:rPr>
        <w:t>三、第三批国家一流本科课程预计地方高校机会增多</w:t>
      </w:r>
      <w:r w:rsidRPr="00EA027B">
        <w:rPr>
          <w:rFonts w:ascii="宋体" w:eastAsia="宋体" w:hAnsi="宋体" w:cs="宋体" w:hint="eastAsia"/>
          <w:color w:val="121212"/>
          <w:kern w:val="0"/>
          <w:sz w:val="24"/>
          <w:szCs w:val="24"/>
        </w:rPr>
        <w:br/>
        <w:t>从前两批国家一流本科课程认定数量来看，部属院校优势明显，但福建师范大学（54门）、福建农林大学（49门）等地方院校表现不俗。日前，教育部高等教育司发布2023年工作要点，其中提到，深入实施一流课程建设“双万计划”，公布第二批国家一流本科课程名单，组织开展第三批国家一流本科课程认定工作。与此同时，教育部</w:t>
      </w:r>
      <w:proofErr w:type="gramStart"/>
      <w:r w:rsidRPr="00EA027B">
        <w:rPr>
          <w:rFonts w:ascii="宋体" w:eastAsia="宋体" w:hAnsi="宋体" w:cs="宋体" w:hint="eastAsia"/>
          <w:color w:val="121212"/>
          <w:kern w:val="0"/>
          <w:sz w:val="24"/>
          <w:szCs w:val="24"/>
        </w:rPr>
        <w:t>还启动</w:t>
      </w:r>
      <w:proofErr w:type="gramEnd"/>
      <w:r w:rsidRPr="00EA027B">
        <w:rPr>
          <w:rFonts w:ascii="宋体" w:eastAsia="宋体" w:hAnsi="宋体" w:cs="宋体" w:hint="eastAsia"/>
          <w:color w:val="121212"/>
          <w:kern w:val="0"/>
          <w:sz w:val="24"/>
          <w:szCs w:val="24"/>
        </w:rPr>
        <w:t>了地方高校“101计划”。该计划旨在通过对地方高校进行重点扶持，推动高校质量和水平的全面提升。根据教育部《关于一流本科课程建设的实施意见》，目前“双万计划”还未完成，国家级一流本科课程还有不小缺口，省级一流本科课程缺口更大。</w:t>
      </w:r>
    </w:p>
    <w:p w14:paraId="12C3564F" w14:textId="6ADC6731" w:rsidR="00EA027B" w:rsidRDefault="00EA027B" w:rsidP="00DB7E02">
      <w:pPr>
        <w:widowControl/>
        <w:shd w:val="clear" w:color="auto" w:fill="FFFFFF"/>
        <w:jc w:val="left"/>
        <w:rPr>
          <w:rFonts w:ascii="宋体" w:eastAsia="宋体" w:hAnsi="宋体" w:cs="宋体"/>
          <w:b/>
          <w:bCs/>
          <w:color w:val="121212"/>
          <w:kern w:val="0"/>
          <w:sz w:val="24"/>
          <w:szCs w:val="24"/>
        </w:rPr>
      </w:pPr>
      <w:r>
        <w:rPr>
          <w:noProof/>
        </w:rPr>
        <w:drawing>
          <wp:inline distT="0" distB="0" distL="0" distR="0" wp14:anchorId="246FB585" wp14:editId="72FFB8CA">
            <wp:extent cx="5274310" cy="2048190"/>
            <wp:effectExtent l="0" t="0" r="2540" b="9525"/>
            <wp:docPr id="5" name="图片 5" descr="https://pic3.zhimg.com/v2-2808dcf91a06d91f0daa25f2e37233ca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ic3.zhimg.com/v2-2808dcf91a06d91f0daa25f2e37233ca_r.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048190"/>
                    </a:xfrm>
                    <a:prstGeom prst="rect">
                      <a:avLst/>
                    </a:prstGeom>
                    <a:noFill/>
                    <a:ln>
                      <a:noFill/>
                    </a:ln>
                  </pic:spPr>
                </pic:pic>
              </a:graphicData>
            </a:graphic>
          </wp:inline>
        </w:drawing>
      </w:r>
    </w:p>
    <w:p w14:paraId="3270425E" w14:textId="77777777" w:rsidR="00EA027B" w:rsidRDefault="00EA027B" w:rsidP="00DB7E02">
      <w:pPr>
        <w:widowControl/>
        <w:shd w:val="clear" w:color="auto" w:fill="FFFFFF"/>
        <w:spacing w:line="400" w:lineRule="exact"/>
        <w:jc w:val="left"/>
        <w:rPr>
          <w:rFonts w:ascii="宋体" w:eastAsia="宋体" w:hAnsi="宋体" w:cs="宋体"/>
          <w:b/>
          <w:bCs/>
          <w:color w:val="121212"/>
          <w:kern w:val="0"/>
          <w:sz w:val="24"/>
          <w:szCs w:val="24"/>
        </w:rPr>
      </w:pPr>
    </w:p>
    <w:p w14:paraId="701FA55C" w14:textId="6AD2C22E" w:rsidR="00EA027B" w:rsidRPr="00EA027B" w:rsidRDefault="00EA027B" w:rsidP="00DB7E02">
      <w:pPr>
        <w:widowControl/>
        <w:shd w:val="clear" w:color="auto" w:fill="FFFFFF"/>
        <w:spacing w:line="400" w:lineRule="exact"/>
        <w:jc w:val="left"/>
        <w:rPr>
          <w:rFonts w:ascii="宋体" w:eastAsia="宋体" w:hAnsi="宋体" w:cs="宋体"/>
          <w:color w:val="121212"/>
          <w:kern w:val="0"/>
          <w:sz w:val="24"/>
          <w:szCs w:val="24"/>
        </w:rPr>
      </w:pPr>
      <w:r w:rsidRPr="00EA027B">
        <w:rPr>
          <w:rFonts w:ascii="宋体" w:eastAsia="宋体" w:hAnsi="宋体" w:cs="宋体" w:hint="eastAsia"/>
          <w:b/>
          <w:bCs/>
          <w:color w:val="121212"/>
          <w:kern w:val="0"/>
          <w:sz w:val="24"/>
          <w:szCs w:val="24"/>
        </w:rPr>
        <w:lastRenderedPageBreak/>
        <w:t>大胆可以预测：地方高校将是第三批省级一流本科课程的主力军，在第三批国家一流本科课程申报中机会也会明显增加。</w:t>
      </w:r>
    </w:p>
    <w:p w14:paraId="0917A739" w14:textId="0E6811C8" w:rsidR="00EA027B" w:rsidRPr="00EA027B" w:rsidRDefault="00EA027B" w:rsidP="00DB7E02">
      <w:pPr>
        <w:widowControl/>
        <w:numPr>
          <w:ilvl w:val="0"/>
          <w:numId w:val="2"/>
        </w:numPr>
        <w:shd w:val="clear" w:color="auto" w:fill="FFFFFF"/>
        <w:spacing w:line="400" w:lineRule="exact"/>
        <w:ind w:left="0" w:firstLine="0"/>
        <w:jc w:val="left"/>
        <w:rPr>
          <w:rFonts w:ascii="宋体" w:eastAsia="宋体" w:hAnsi="宋体" w:cs="宋体"/>
          <w:color w:val="121212"/>
          <w:kern w:val="0"/>
          <w:sz w:val="24"/>
          <w:szCs w:val="24"/>
        </w:rPr>
      </w:pPr>
      <w:r w:rsidRPr="00EA027B">
        <w:rPr>
          <w:rFonts w:ascii="宋体" w:eastAsia="宋体" w:hAnsi="宋体" w:cs="宋体" w:hint="eastAsia"/>
          <w:b/>
          <w:bCs/>
          <w:color w:val="121212"/>
          <w:kern w:val="0"/>
          <w:sz w:val="24"/>
          <w:szCs w:val="24"/>
        </w:rPr>
        <w:t>第三批国家一流本科课程申报的一点建议</w:t>
      </w:r>
      <w:r w:rsidRPr="00EA027B">
        <w:rPr>
          <w:rFonts w:ascii="宋体" w:eastAsia="宋体" w:hAnsi="宋体" w:cs="宋体" w:hint="eastAsia"/>
          <w:color w:val="121212"/>
          <w:kern w:val="0"/>
          <w:sz w:val="24"/>
          <w:szCs w:val="24"/>
        </w:rPr>
        <w:br/>
      </w:r>
      <w:r w:rsidRPr="00EA027B">
        <w:rPr>
          <w:rFonts w:ascii="宋体" w:eastAsia="宋体" w:hAnsi="宋体" w:cs="宋体" w:hint="eastAsia"/>
          <w:b/>
          <w:bCs/>
          <w:color w:val="121212"/>
          <w:kern w:val="0"/>
          <w:sz w:val="24"/>
          <w:szCs w:val="24"/>
        </w:rPr>
        <w:t>1.关注缺口，选择合适的课程类型</w:t>
      </w:r>
      <w:r w:rsidRPr="00EA027B">
        <w:rPr>
          <w:rFonts w:ascii="宋体" w:eastAsia="宋体" w:hAnsi="宋体" w:cs="宋体" w:hint="eastAsia"/>
          <w:color w:val="121212"/>
          <w:kern w:val="0"/>
          <w:sz w:val="24"/>
          <w:szCs w:val="24"/>
        </w:rPr>
        <w:br/>
      </w:r>
      <w:r w:rsidR="00DB7E02">
        <w:rPr>
          <w:rFonts w:ascii="宋体" w:eastAsia="宋体" w:hAnsi="宋体" w:cs="宋体" w:hint="eastAsia"/>
          <w:color w:val="121212"/>
          <w:kern w:val="0"/>
          <w:sz w:val="24"/>
          <w:szCs w:val="24"/>
        </w:rPr>
        <w:t xml:space="preserve"> </w:t>
      </w:r>
      <w:r w:rsidR="00DB7E02">
        <w:rPr>
          <w:rFonts w:ascii="宋体" w:eastAsia="宋体" w:hAnsi="宋体" w:cs="宋体"/>
          <w:color w:val="121212"/>
          <w:kern w:val="0"/>
          <w:sz w:val="24"/>
          <w:szCs w:val="24"/>
        </w:rPr>
        <w:t xml:space="preserve"> </w:t>
      </w:r>
      <w:r w:rsidRPr="00EA027B">
        <w:rPr>
          <w:rFonts w:ascii="宋体" w:eastAsia="宋体" w:hAnsi="宋体" w:cs="宋体" w:hint="eastAsia"/>
          <w:color w:val="121212"/>
          <w:kern w:val="0"/>
          <w:sz w:val="24"/>
          <w:szCs w:val="24"/>
        </w:rPr>
        <w:t>根据教育部《关于一流本科课程建设的实施意见》，在国家级一流本科课程的缺口中，混合一流课程缺口最大，为3332门，机会最多，但竞争可能会比较激烈。线上一流课程缺口为1030门，机会其次，因涉及投入和建设周期问题，建设难度最大，预计申报难度最小。社会实践一流课程缺口为509门，机会也不少，申报数量较少，预计申报难度也较小。线下一流课程缺口只有461门，机会不多，预计申报数量较多，申报难度会非常大。目前来看，虚拟仿真课程缺口300门，预计申报难度也不小，当然，最终还要看申报人数。</w:t>
      </w:r>
    </w:p>
    <w:p w14:paraId="6B76DF4A" w14:textId="025DE724" w:rsidR="00EA027B" w:rsidRDefault="00EA027B" w:rsidP="00DB7E02">
      <w:pPr>
        <w:widowControl/>
        <w:shd w:val="clear" w:color="auto" w:fill="FFFFFF"/>
        <w:spacing w:line="400" w:lineRule="exact"/>
        <w:jc w:val="left"/>
        <w:rPr>
          <w:rFonts w:ascii="宋体" w:eastAsia="宋体" w:hAnsi="宋体" w:cs="宋体"/>
          <w:color w:val="121212"/>
          <w:kern w:val="0"/>
          <w:sz w:val="24"/>
          <w:szCs w:val="24"/>
        </w:rPr>
      </w:pPr>
    </w:p>
    <w:p w14:paraId="67790AF8" w14:textId="082124D8" w:rsidR="00EA027B" w:rsidRPr="00EA027B" w:rsidRDefault="00EA027B" w:rsidP="00DB7E02">
      <w:pPr>
        <w:widowControl/>
        <w:shd w:val="clear" w:color="auto" w:fill="FFFFFF"/>
        <w:jc w:val="left"/>
        <w:rPr>
          <w:rFonts w:ascii="宋体" w:eastAsia="宋体" w:hAnsi="宋体" w:cs="宋体"/>
          <w:color w:val="121212"/>
          <w:kern w:val="0"/>
          <w:sz w:val="24"/>
          <w:szCs w:val="24"/>
        </w:rPr>
      </w:pPr>
      <w:r>
        <w:rPr>
          <w:noProof/>
        </w:rPr>
        <w:drawing>
          <wp:inline distT="0" distB="0" distL="0" distR="0" wp14:anchorId="7A8F3A9F" wp14:editId="451490A0">
            <wp:extent cx="5274310" cy="2483809"/>
            <wp:effectExtent l="0" t="0" r="2540" b="0"/>
            <wp:docPr id="9" name="图片 9" descr="https://pic4.zhimg.com/v2-e5bbb0a5b4e99ab541266b6fb525cce3_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ic4.zhimg.com/v2-e5bbb0a5b4e99ab541266b6fb525cce3_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74310" cy="2483809"/>
                    </a:xfrm>
                    <a:prstGeom prst="rect">
                      <a:avLst/>
                    </a:prstGeom>
                    <a:noFill/>
                    <a:ln>
                      <a:noFill/>
                    </a:ln>
                  </pic:spPr>
                </pic:pic>
              </a:graphicData>
            </a:graphic>
          </wp:inline>
        </w:drawing>
      </w:r>
    </w:p>
    <w:p w14:paraId="04DE6135" w14:textId="77777777" w:rsidR="00EA027B" w:rsidRDefault="00EA027B" w:rsidP="00DB7E02">
      <w:pPr>
        <w:widowControl/>
        <w:shd w:val="clear" w:color="auto" w:fill="FFFFFF"/>
        <w:spacing w:line="400" w:lineRule="exact"/>
        <w:jc w:val="left"/>
        <w:rPr>
          <w:rFonts w:ascii="宋体" w:eastAsia="宋体" w:hAnsi="宋体" w:cs="宋体"/>
          <w:b/>
          <w:bCs/>
          <w:color w:val="121212"/>
          <w:kern w:val="0"/>
          <w:sz w:val="24"/>
          <w:szCs w:val="24"/>
        </w:rPr>
      </w:pPr>
    </w:p>
    <w:p w14:paraId="769FA5C5" w14:textId="77777777" w:rsidR="00DB7E02" w:rsidRDefault="00EA027B" w:rsidP="00DB7E02">
      <w:pPr>
        <w:widowControl/>
        <w:shd w:val="clear" w:color="auto" w:fill="FFFFFF"/>
        <w:spacing w:line="400" w:lineRule="exact"/>
        <w:jc w:val="left"/>
        <w:rPr>
          <w:rFonts w:ascii="宋体" w:eastAsia="宋体" w:hAnsi="宋体" w:cs="宋体"/>
          <w:b/>
          <w:bCs/>
          <w:color w:val="121212"/>
          <w:kern w:val="0"/>
          <w:sz w:val="24"/>
          <w:szCs w:val="24"/>
        </w:rPr>
      </w:pPr>
      <w:r w:rsidRPr="00EA027B">
        <w:rPr>
          <w:rFonts w:ascii="宋体" w:eastAsia="宋体" w:hAnsi="宋体" w:cs="宋体" w:hint="eastAsia"/>
          <w:b/>
          <w:bCs/>
          <w:color w:val="121212"/>
          <w:kern w:val="0"/>
          <w:sz w:val="24"/>
          <w:szCs w:val="24"/>
        </w:rPr>
        <w:t>2.早做准备，注意时间节点</w:t>
      </w:r>
    </w:p>
    <w:p w14:paraId="3BD8EFEC" w14:textId="77777777" w:rsidR="00DB7E02"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目前，第二批结果刚刚公布，预计第三批很快启动，至于暑假前还是暑假后，未知。老师们要动态关注教育部和学校的相关通知，第一时间查阅相关最新要求。据我了解，一些省或学校已经发布第三批国家级一流本科课程申报的预通知。</w:t>
      </w:r>
    </w:p>
    <w:p w14:paraId="472F20C9" w14:textId="760993D6" w:rsidR="00DB7E02" w:rsidRPr="00DB7E02" w:rsidRDefault="00EA027B" w:rsidP="00DB7E02">
      <w:pPr>
        <w:pStyle w:val="a9"/>
        <w:widowControl/>
        <w:numPr>
          <w:ilvl w:val="0"/>
          <w:numId w:val="2"/>
        </w:numPr>
        <w:shd w:val="clear" w:color="auto" w:fill="FFFFFF"/>
        <w:spacing w:line="400" w:lineRule="exact"/>
        <w:ind w:firstLineChars="0"/>
        <w:jc w:val="left"/>
        <w:rPr>
          <w:rFonts w:ascii="宋体" w:eastAsia="宋体" w:hAnsi="宋体" w:cs="宋体"/>
          <w:color w:val="121212"/>
          <w:kern w:val="0"/>
          <w:sz w:val="24"/>
          <w:szCs w:val="24"/>
        </w:rPr>
      </w:pPr>
      <w:r w:rsidRPr="00DB7E02">
        <w:rPr>
          <w:rFonts w:ascii="宋体" w:eastAsia="宋体" w:hAnsi="宋体" w:cs="宋体" w:hint="eastAsia"/>
          <w:b/>
          <w:bCs/>
          <w:color w:val="121212"/>
          <w:kern w:val="0"/>
          <w:sz w:val="24"/>
          <w:szCs w:val="24"/>
        </w:rPr>
        <w:t>注意申报条件，确保够格</w:t>
      </w:r>
    </w:p>
    <w:p w14:paraId="4A6112D1" w14:textId="69A056CF" w:rsidR="00EA027B" w:rsidRPr="00DB7E02"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DB7E02">
        <w:rPr>
          <w:rFonts w:ascii="宋体" w:eastAsia="宋体" w:hAnsi="宋体" w:cs="宋体" w:hint="eastAsia"/>
          <w:color w:val="121212"/>
          <w:kern w:val="0"/>
          <w:sz w:val="24"/>
          <w:szCs w:val="24"/>
        </w:rPr>
        <w:t>根据前两届的申报要求，申报课程须至少经过两个教学周期的建设和完善，取得实质性改革成效。假如2023年下学期开始申报，那么本学期的数据就可以使用，下学期的数据是不能用的。也就是说老师们的申报要在每一年每一个学期都做好准备。也有一些老师这个学期是按要求做的，但还差一个学期，会不会错过了？因为按照“双万计划”，第三批是最后一批申报。这里建议老</w:t>
      </w:r>
      <w:r w:rsidRPr="00DB7E02">
        <w:rPr>
          <w:rFonts w:ascii="宋体" w:eastAsia="宋体" w:hAnsi="宋体" w:cs="宋体" w:hint="eastAsia"/>
          <w:color w:val="121212"/>
          <w:kern w:val="0"/>
          <w:sz w:val="24"/>
          <w:szCs w:val="24"/>
        </w:rPr>
        <w:lastRenderedPageBreak/>
        <w:t>师们尽量做，特别是线上线下混合和线上教学。我们不能纯粹为了申报什么才去建设课程。4.</w:t>
      </w:r>
      <w:proofErr w:type="gramStart"/>
      <w:r w:rsidRPr="00DB7E02">
        <w:rPr>
          <w:rFonts w:ascii="宋体" w:eastAsia="宋体" w:hAnsi="宋体" w:cs="宋体" w:hint="eastAsia"/>
          <w:color w:val="121212"/>
          <w:kern w:val="0"/>
          <w:sz w:val="24"/>
          <w:szCs w:val="24"/>
        </w:rPr>
        <w:t>暑期可</w:t>
      </w:r>
      <w:proofErr w:type="gramEnd"/>
      <w:r w:rsidRPr="00DB7E02">
        <w:rPr>
          <w:rFonts w:ascii="宋体" w:eastAsia="宋体" w:hAnsi="宋体" w:cs="宋体" w:hint="eastAsia"/>
          <w:color w:val="121212"/>
          <w:kern w:val="0"/>
          <w:sz w:val="24"/>
          <w:szCs w:val="24"/>
        </w:rPr>
        <w:t>针对申报书、附件材料进行准备可利用暑期提前准备申报书、说课视频（含脚本或PPT）、课堂实录（含教学设计样例）、课程教案等，这些量大的工作尽量提前准备好，以免被动。目前来看，下个学期的数据可能不用，但为以防万一，老师们也把下个学期的教学安排做好。比如排课、选课人数、上课老师，主讲教师要在课表里等等。</w:t>
      </w:r>
    </w:p>
    <w:p w14:paraId="091BBC5D" w14:textId="77777777" w:rsidR="00EA027B" w:rsidRPr="00EA027B" w:rsidRDefault="00EA027B" w:rsidP="00DB7E02">
      <w:pPr>
        <w:widowControl/>
        <w:numPr>
          <w:ilvl w:val="0"/>
          <w:numId w:val="3"/>
        </w:numPr>
        <w:shd w:val="clear" w:color="auto" w:fill="FFFFFF"/>
        <w:spacing w:line="400" w:lineRule="exact"/>
        <w:ind w:left="0" w:firstLine="0"/>
        <w:jc w:val="left"/>
        <w:rPr>
          <w:rFonts w:ascii="宋体" w:eastAsia="宋体" w:hAnsi="宋体" w:cs="宋体"/>
          <w:color w:val="121212"/>
          <w:kern w:val="0"/>
          <w:sz w:val="24"/>
          <w:szCs w:val="24"/>
        </w:rPr>
      </w:pPr>
      <w:r w:rsidRPr="00EA027B">
        <w:rPr>
          <w:rFonts w:ascii="宋体" w:eastAsia="宋体" w:hAnsi="宋体" w:cs="宋体" w:hint="eastAsia"/>
          <w:b/>
          <w:bCs/>
          <w:color w:val="121212"/>
          <w:kern w:val="0"/>
          <w:sz w:val="24"/>
          <w:szCs w:val="24"/>
        </w:rPr>
        <w:t>第三批国家一流本科课程申报时间安排</w:t>
      </w:r>
    </w:p>
    <w:p w14:paraId="0815E67F"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根据高教司2022年一号文件，已经给出了申报的时间节点。</w:t>
      </w:r>
    </w:p>
    <w:p w14:paraId="4B385E24"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今年的申报（第三批一流课程申报）必须要在今年内完成。哪怕是到今年的</w:t>
      </w:r>
      <w:proofErr w:type="gramStart"/>
      <w:r w:rsidRPr="00EA027B">
        <w:rPr>
          <w:rFonts w:ascii="宋体" w:eastAsia="宋体" w:hAnsi="宋体" w:cs="宋体" w:hint="eastAsia"/>
          <w:color w:val="121212"/>
          <w:kern w:val="0"/>
          <w:sz w:val="24"/>
          <w:szCs w:val="24"/>
        </w:rPr>
        <w:t>12月31号发通知</w:t>
      </w:r>
      <w:proofErr w:type="gramEnd"/>
      <w:r w:rsidRPr="00EA027B">
        <w:rPr>
          <w:rFonts w:ascii="宋体" w:eastAsia="宋体" w:hAnsi="宋体" w:cs="宋体" w:hint="eastAsia"/>
          <w:color w:val="121212"/>
          <w:kern w:val="0"/>
          <w:sz w:val="24"/>
          <w:szCs w:val="24"/>
        </w:rPr>
        <w:t>，也是在今年完成。</w:t>
      </w:r>
    </w:p>
    <w:p w14:paraId="4C807A45"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所以我们可以倒推，如果说今年的申报通知是在12月31号发，这完全是有可能的。也就是说，2022年下学期作为申报的周期，或者下个学期末开始申报，那么下个学期的数据就可以使用，这个学期的数据肯定是不用的。也就是说老师们的申报要把每一年每一个学期都做好准备。</w:t>
      </w:r>
    </w:p>
    <w:p w14:paraId="77DF982F"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也有一些老师这个学期是按要求做的，但还差一个学期，会不会错过了，因为第三批是最后一批申报。换句话讲，就是下个学期能不能做？我说你尽量做，包括我们下学期也可以开展线上线下混合，也可以开展线上教学。</w:t>
      </w:r>
    </w:p>
    <w:p w14:paraId="57DE2B39"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当然也有可能提前，比如说九月份、十月份发通知。我觉得这个时间没有关系，因为要等第二批会</w:t>
      </w:r>
      <w:proofErr w:type="gramStart"/>
      <w:r w:rsidRPr="00EA027B">
        <w:rPr>
          <w:rFonts w:ascii="宋体" w:eastAsia="宋体" w:hAnsi="宋体" w:cs="宋体" w:hint="eastAsia"/>
          <w:color w:val="121212"/>
          <w:kern w:val="0"/>
          <w:sz w:val="24"/>
          <w:szCs w:val="24"/>
        </w:rPr>
        <w:t>评结果</w:t>
      </w:r>
      <w:proofErr w:type="gramEnd"/>
      <w:r w:rsidRPr="00EA027B">
        <w:rPr>
          <w:rFonts w:ascii="宋体" w:eastAsia="宋体" w:hAnsi="宋体" w:cs="宋体" w:hint="eastAsia"/>
          <w:color w:val="121212"/>
          <w:kern w:val="0"/>
          <w:sz w:val="24"/>
          <w:szCs w:val="24"/>
        </w:rPr>
        <w:t>公示以后才会启动第三批。不可能我们还不知道第二批的结果就去准备第三批。有老师去年申报了感觉不能过，已经开始准备第三批了，我觉得这个没有必要。</w:t>
      </w:r>
    </w:p>
    <w:p w14:paraId="012D1622"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我建议等结果出来以后，再准备第三批的申报。就是说我们要等“第二批会评”“第二批公示”这两个时间节点，这两个时间节点至少需要2-3个月的时间。</w:t>
      </w:r>
    </w:p>
    <w:p w14:paraId="39B6C376"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所以暑假可能是第二批结果公示，那么十月份，可能会启动第三批，到年底，基本上可以提交，那评审自然是在明年，2023年。</w:t>
      </w:r>
    </w:p>
    <w:p w14:paraId="337546AF"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这是大概的时间安排，所以我认为暑期里，老师们可以针对一些申报材料、附件进行准备。针对课程申报书准备起来，针对老师的一些细节，比如说课堂实录、课程教案，这些量大的工作准备起来。</w:t>
      </w:r>
    </w:p>
    <w:p w14:paraId="35256B16"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如果再晚一点，到12月31号提交，我们按这个时间节点往后推，那么下个学期的数据是可以用的，所以老师们要把下个学期的教学安排做好。比如排课、选课人数、上课老师，主讲教师要在课表里等等。</w:t>
      </w:r>
    </w:p>
    <w:p w14:paraId="7789F7B7" w14:textId="77777777" w:rsidR="00EA027B" w:rsidRPr="00EA027B" w:rsidRDefault="00EA027B" w:rsidP="00DB7E02">
      <w:pPr>
        <w:widowControl/>
        <w:shd w:val="clear" w:color="auto" w:fill="FFFFFF"/>
        <w:spacing w:line="400" w:lineRule="exact"/>
        <w:ind w:firstLineChars="200" w:firstLine="480"/>
        <w:jc w:val="left"/>
        <w:rPr>
          <w:rFonts w:ascii="宋体" w:eastAsia="宋体" w:hAnsi="宋体" w:cs="宋体"/>
          <w:color w:val="121212"/>
          <w:kern w:val="0"/>
          <w:sz w:val="24"/>
          <w:szCs w:val="24"/>
        </w:rPr>
      </w:pPr>
      <w:r w:rsidRPr="00EA027B">
        <w:rPr>
          <w:rFonts w:ascii="宋体" w:eastAsia="宋体" w:hAnsi="宋体" w:cs="宋体" w:hint="eastAsia"/>
          <w:color w:val="121212"/>
          <w:kern w:val="0"/>
          <w:sz w:val="24"/>
          <w:szCs w:val="24"/>
        </w:rPr>
        <w:t>这就是给大家讲的第一个问题第三批国家一流课程申报准备的时间安排。</w:t>
      </w:r>
    </w:p>
    <w:p w14:paraId="21854B8D" w14:textId="77777777" w:rsidR="006400BE" w:rsidRPr="00EA027B" w:rsidRDefault="00236F55" w:rsidP="00DB7E02">
      <w:pPr>
        <w:spacing w:line="400" w:lineRule="exact"/>
        <w:rPr>
          <w:rFonts w:ascii="宋体" w:eastAsia="宋体" w:hAnsi="宋体"/>
          <w:sz w:val="24"/>
          <w:szCs w:val="24"/>
        </w:rPr>
      </w:pPr>
    </w:p>
    <w:sectPr w:rsidR="006400BE" w:rsidRPr="00EA02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948B0A" w14:textId="77777777" w:rsidR="00236F55" w:rsidRDefault="00236F55" w:rsidP="00EA027B">
      <w:r>
        <w:separator/>
      </w:r>
    </w:p>
  </w:endnote>
  <w:endnote w:type="continuationSeparator" w:id="0">
    <w:p w14:paraId="13040F7F" w14:textId="77777777" w:rsidR="00236F55" w:rsidRDefault="00236F55" w:rsidP="00EA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C328D7" w14:textId="77777777" w:rsidR="00236F55" w:rsidRDefault="00236F55" w:rsidP="00EA027B">
      <w:r>
        <w:separator/>
      </w:r>
    </w:p>
  </w:footnote>
  <w:footnote w:type="continuationSeparator" w:id="0">
    <w:p w14:paraId="70428345" w14:textId="77777777" w:rsidR="00236F55" w:rsidRDefault="00236F55" w:rsidP="00EA0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5861BD"/>
    <w:multiLevelType w:val="multilevel"/>
    <w:tmpl w:val="B77A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B43693C"/>
    <w:multiLevelType w:val="multilevel"/>
    <w:tmpl w:val="FA08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E95E2F"/>
    <w:multiLevelType w:val="multilevel"/>
    <w:tmpl w:val="F5CC4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F6B"/>
    <w:rsid w:val="001A7BFF"/>
    <w:rsid w:val="00236F55"/>
    <w:rsid w:val="006C68B3"/>
    <w:rsid w:val="009C5600"/>
    <w:rsid w:val="009E4B76"/>
    <w:rsid w:val="00B02F6B"/>
    <w:rsid w:val="00DB7E02"/>
    <w:rsid w:val="00EA02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8F3957"/>
  <w15:chartTrackingRefBased/>
  <w15:docId w15:val="{9E43CB96-D6FB-4662-8525-6A4117F95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EA027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2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A027B"/>
    <w:rPr>
      <w:sz w:val="18"/>
      <w:szCs w:val="18"/>
    </w:rPr>
  </w:style>
  <w:style w:type="paragraph" w:styleId="a5">
    <w:name w:val="footer"/>
    <w:basedOn w:val="a"/>
    <w:link w:val="a6"/>
    <w:uiPriority w:val="99"/>
    <w:unhideWhenUsed/>
    <w:rsid w:val="00EA027B"/>
    <w:pPr>
      <w:tabs>
        <w:tab w:val="center" w:pos="4153"/>
        <w:tab w:val="right" w:pos="8306"/>
      </w:tabs>
      <w:snapToGrid w:val="0"/>
      <w:jc w:val="left"/>
    </w:pPr>
    <w:rPr>
      <w:sz w:val="18"/>
      <w:szCs w:val="18"/>
    </w:rPr>
  </w:style>
  <w:style w:type="character" w:customStyle="1" w:styleId="a6">
    <w:name w:val="页脚 字符"/>
    <w:basedOn w:val="a0"/>
    <w:link w:val="a5"/>
    <w:uiPriority w:val="99"/>
    <w:rsid w:val="00EA027B"/>
    <w:rPr>
      <w:sz w:val="18"/>
      <w:szCs w:val="18"/>
    </w:rPr>
  </w:style>
  <w:style w:type="character" w:customStyle="1" w:styleId="10">
    <w:name w:val="标题 1 字符"/>
    <w:basedOn w:val="a0"/>
    <w:link w:val="1"/>
    <w:uiPriority w:val="9"/>
    <w:rsid w:val="00EA027B"/>
    <w:rPr>
      <w:rFonts w:ascii="宋体" w:eastAsia="宋体" w:hAnsi="宋体" w:cs="宋体"/>
      <w:b/>
      <w:bCs/>
      <w:kern w:val="36"/>
      <w:sz w:val="48"/>
      <w:szCs w:val="48"/>
    </w:rPr>
  </w:style>
  <w:style w:type="character" w:styleId="a7">
    <w:name w:val="Hyperlink"/>
    <w:basedOn w:val="a0"/>
    <w:uiPriority w:val="99"/>
    <w:unhideWhenUsed/>
    <w:rsid w:val="00EA027B"/>
    <w:rPr>
      <w:color w:val="0000FF"/>
      <w:u w:val="single"/>
    </w:rPr>
  </w:style>
  <w:style w:type="paragraph" w:styleId="a8">
    <w:name w:val="Normal (Web)"/>
    <w:basedOn w:val="a"/>
    <w:uiPriority w:val="99"/>
    <w:semiHidden/>
    <w:unhideWhenUsed/>
    <w:rsid w:val="00EA027B"/>
    <w:pPr>
      <w:widowControl/>
      <w:spacing w:before="100" w:beforeAutospacing="1" w:after="100" w:afterAutospacing="1"/>
      <w:jc w:val="left"/>
    </w:pPr>
    <w:rPr>
      <w:rFonts w:ascii="宋体" w:eastAsia="宋体" w:hAnsi="宋体" w:cs="宋体"/>
      <w:kern w:val="0"/>
      <w:sz w:val="24"/>
      <w:szCs w:val="24"/>
    </w:rPr>
  </w:style>
  <w:style w:type="paragraph" w:customStyle="1" w:styleId="ztext-empty-paragraph">
    <w:name w:val="ztext-empty-paragraph"/>
    <w:basedOn w:val="a"/>
    <w:rsid w:val="00EA027B"/>
    <w:pPr>
      <w:widowControl/>
      <w:spacing w:before="100" w:beforeAutospacing="1" w:after="100" w:afterAutospacing="1"/>
      <w:jc w:val="left"/>
    </w:pPr>
    <w:rPr>
      <w:rFonts w:ascii="宋体" w:eastAsia="宋体" w:hAnsi="宋体" w:cs="宋体"/>
      <w:kern w:val="0"/>
      <w:sz w:val="24"/>
      <w:szCs w:val="24"/>
    </w:rPr>
  </w:style>
  <w:style w:type="paragraph" w:styleId="a9">
    <w:name w:val="List Paragraph"/>
    <w:basedOn w:val="a"/>
    <w:uiPriority w:val="34"/>
    <w:qFormat/>
    <w:rsid w:val="00DB7E02"/>
    <w:pPr>
      <w:ind w:firstLineChars="200" w:firstLine="420"/>
    </w:pPr>
  </w:style>
  <w:style w:type="character" w:styleId="aa">
    <w:name w:val="Unresolved Mention"/>
    <w:basedOn w:val="a0"/>
    <w:uiPriority w:val="99"/>
    <w:semiHidden/>
    <w:unhideWhenUsed/>
    <w:rsid w:val="009E4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0567">
      <w:bodyDiv w:val="1"/>
      <w:marLeft w:val="0"/>
      <w:marRight w:val="0"/>
      <w:marTop w:val="0"/>
      <w:marBottom w:val="0"/>
      <w:divBdr>
        <w:top w:val="none" w:sz="0" w:space="0" w:color="auto"/>
        <w:left w:val="none" w:sz="0" w:space="0" w:color="auto"/>
        <w:bottom w:val="none" w:sz="0" w:space="0" w:color="auto"/>
        <w:right w:val="none" w:sz="0" w:space="0" w:color="auto"/>
      </w:divBdr>
      <w:divsChild>
        <w:div w:id="1648195681">
          <w:marLeft w:val="0"/>
          <w:marRight w:val="0"/>
          <w:marTop w:val="0"/>
          <w:marBottom w:val="0"/>
          <w:divBdr>
            <w:top w:val="none" w:sz="0" w:space="0" w:color="auto"/>
            <w:left w:val="none" w:sz="0" w:space="0" w:color="auto"/>
            <w:bottom w:val="none" w:sz="0" w:space="0" w:color="auto"/>
            <w:right w:val="none" w:sz="0" w:space="0" w:color="auto"/>
          </w:divBdr>
          <w:divsChild>
            <w:div w:id="833296955">
              <w:marLeft w:val="0"/>
              <w:marRight w:val="0"/>
              <w:marTop w:val="0"/>
              <w:marBottom w:val="0"/>
              <w:divBdr>
                <w:top w:val="none" w:sz="0" w:space="0" w:color="auto"/>
                <w:left w:val="none" w:sz="0" w:space="0" w:color="auto"/>
                <w:bottom w:val="none" w:sz="0" w:space="0" w:color="auto"/>
                <w:right w:val="none" w:sz="0" w:space="0" w:color="auto"/>
              </w:divBdr>
              <w:divsChild>
                <w:div w:id="925186717">
                  <w:marLeft w:val="0"/>
                  <w:marRight w:val="0"/>
                  <w:marTop w:val="0"/>
                  <w:marBottom w:val="0"/>
                  <w:divBdr>
                    <w:top w:val="none" w:sz="0" w:space="0" w:color="auto"/>
                    <w:left w:val="none" w:sz="0" w:space="0" w:color="auto"/>
                    <w:bottom w:val="none" w:sz="0" w:space="0" w:color="auto"/>
                    <w:right w:val="none" w:sz="0" w:space="0" w:color="auto"/>
                  </w:divBdr>
                  <w:divsChild>
                    <w:div w:id="1232086254">
                      <w:marLeft w:val="0"/>
                      <w:marRight w:val="0"/>
                      <w:marTop w:val="0"/>
                      <w:marBottom w:val="0"/>
                      <w:divBdr>
                        <w:top w:val="none" w:sz="0" w:space="0" w:color="auto"/>
                        <w:left w:val="none" w:sz="0" w:space="0" w:color="auto"/>
                        <w:bottom w:val="none" w:sz="0" w:space="0" w:color="auto"/>
                        <w:right w:val="none" w:sz="0" w:space="0" w:color="auto"/>
                      </w:divBdr>
                    </w:div>
                    <w:div w:id="1856261837">
                      <w:marLeft w:val="210"/>
                      <w:marRight w:val="0"/>
                      <w:marTop w:val="0"/>
                      <w:marBottom w:val="0"/>
                      <w:divBdr>
                        <w:top w:val="none" w:sz="0" w:space="0" w:color="auto"/>
                        <w:left w:val="none" w:sz="0" w:space="0" w:color="auto"/>
                        <w:bottom w:val="none" w:sz="0" w:space="0" w:color="auto"/>
                        <w:right w:val="none" w:sz="0" w:space="0" w:color="auto"/>
                      </w:divBdr>
                      <w:divsChild>
                        <w:div w:id="503545671">
                          <w:marLeft w:val="0"/>
                          <w:marRight w:val="0"/>
                          <w:marTop w:val="0"/>
                          <w:marBottom w:val="0"/>
                          <w:divBdr>
                            <w:top w:val="none" w:sz="0" w:space="0" w:color="auto"/>
                            <w:left w:val="none" w:sz="0" w:space="0" w:color="auto"/>
                            <w:bottom w:val="none" w:sz="0" w:space="0" w:color="auto"/>
                            <w:right w:val="none" w:sz="0" w:space="0" w:color="auto"/>
                          </w:divBdr>
                          <w:divsChild>
                            <w:div w:id="125397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8363493">
          <w:marLeft w:val="0"/>
          <w:marRight w:val="0"/>
          <w:marTop w:val="0"/>
          <w:marBottom w:val="0"/>
          <w:divBdr>
            <w:top w:val="none" w:sz="0" w:space="0" w:color="auto"/>
            <w:left w:val="none" w:sz="0" w:space="0" w:color="auto"/>
            <w:bottom w:val="none" w:sz="0" w:space="0" w:color="auto"/>
            <w:right w:val="none" w:sz="0" w:space="0" w:color="auto"/>
          </w:divBdr>
          <w:divsChild>
            <w:div w:id="871185872">
              <w:marLeft w:val="0"/>
              <w:marRight w:val="0"/>
              <w:marTop w:val="240"/>
              <w:marBottom w:val="0"/>
              <w:divBdr>
                <w:top w:val="none" w:sz="0" w:space="0" w:color="auto"/>
                <w:left w:val="none" w:sz="0" w:space="0" w:color="auto"/>
                <w:bottom w:val="none" w:sz="0" w:space="0" w:color="auto"/>
                <w:right w:val="none" w:sz="0" w:space="0" w:color="auto"/>
              </w:divBdr>
              <w:divsChild>
                <w:div w:id="738669593">
                  <w:marLeft w:val="0"/>
                  <w:marRight w:val="0"/>
                  <w:marTop w:val="0"/>
                  <w:marBottom w:val="0"/>
                  <w:divBdr>
                    <w:top w:val="none" w:sz="0" w:space="0" w:color="auto"/>
                    <w:left w:val="none" w:sz="0" w:space="0" w:color="auto"/>
                    <w:bottom w:val="none" w:sz="0" w:space="0" w:color="auto"/>
                    <w:right w:val="none" w:sz="0" w:space="0" w:color="auto"/>
                  </w:divBdr>
                  <w:divsChild>
                    <w:div w:id="3286100">
                      <w:marLeft w:val="0"/>
                      <w:marRight w:val="0"/>
                      <w:marTop w:val="0"/>
                      <w:marBottom w:val="0"/>
                      <w:divBdr>
                        <w:top w:val="none" w:sz="0" w:space="0" w:color="auto"/>
                        <w:left w:val="none" w:sz="0" w:space="0" w:color="auto"/>
                        <w:bottom w:val="none" w:sz="0" w:space="0" w:color="auto"/>
                        <w:right w:val="none" w:sz="0" w:space="0" w:color="auto"/>
                      </w:divBdr>
                      <w:divsChild>
                        <w:div w:id="2130129126">
                          <w:marLeft w:val="0"/>
                          <w:marRight w:val="0"/>
                          <w:marTop w:val="0"/>
                          <w:marBottom w:val="0"/>
                          <w:divBdr>
                            <w:top w:val="none" w:sz="0" w:space="0" w:color="auto"/>
                            <w:left w:val="none" w:sz="0" w:space="0" w:color="auto"/>
                            <w:bottom w:val="none" w:sz="0" w:space="0" w:color="auto"/>
                            <w:right w:val="none" w:sz="0" w:space="0" w:color="auto"/>
                          </w:divBdr>
                        </w:div>
                        <w:div w:id="1946619815">
                          <w:marLeft w:val="0"/>
                          <w:marRight w:val="0"/>
                          <w:marTop w:val="0"/>
                          <w:marBottom w:val="0"/>
                          <w:divBdr>
                            <w:top w:val="none" w:sz="0" w:space="0" w:color="auto"/>
                            <w:left w:val="none" w:sz="0" w:space="0" w:color="auto"/>
                            <w:bottom w:val="none" w:sz="0" w:space="0" w:color="auto"/>
                            <w:right w:val="none" w:sz="0" w:space="0" w:color="auto"/>
                          </w:divBdr>
                        </w:div>
                        <w:div w:id="164440646">
                          <w:marLeft w:val="0"/>
                          <w:marRight w:val="0"/>
                          <w:marTop w:val="0"/>
                          <w:marBottom w:val="0"/>
                          <w:divBdr>
                            <w:top w:val="none" w:sz="0" w:space="0" w:color="auto"/>
                            <w:left w:val="none" w:sz="0" w:space="0" w:color="auto"/>
                            <w:bottom w:val="none" w:sz="0" w:space="0" w:color="auto"/>
                            <w:right w:val="none" w:sz="0" w:space="0" w:color="auto"/>
                          </w:divBdr>
                        </w:div>
                        <w:div w:id="1177690914">
                          <w:marLeft w:val="0"/>
                          <w:marRight w:val="0"/>
                          <w:marTop w:val="0"/>
                          <w:marBottom w:val="0"/>
                          <w:divBdr>
                            <w:top w:val="none" w:sz="0" w:space="0" w:color="auto"/>
                            <w:left w:val="none" w:sz="0" w:space="0" w:color="auto"/>
                            <w:bottom w:val="none" w:sz="0" w:space="0" w:color="auto"/>
                            <w:right w:val="none" w:sz="0" w:space="0" w:color="auto"/>
                          </w:divBdr>
                        </w:div>
                        <w:div w:id="15664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hihu.com/people/zhao-chao-13-82"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zhuanlan.zhihu.com/p/638152474"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hyperlink" Target="https://www.zhihu.com/people/zhao-chao-13-82"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dc:creator>
  <cp:keywords/>
  <dc:description/>
  <cp:lastModifiedBy>ht</cp:lastModifiedBy>
  <cp:revision>4</cp:revision>
  <dcterms:created xsi:type="dcterms:W3CDTF">2023-11-30T03:20:00Z</dcterms:created>
  <dcterms:modified xsi:type="dcterms:W3CDTF">2023-11-30T03:32:00Z</dcterms:modified>
</cp:coreProperties>
</file>